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C5" w:rsidRDefault="00FC7FC1" w:rsidP="00561433">
      <w:pPr>
        <w:jc w:val="center"/>
        <w:rPr>
          <w:b/>
          <w:sz w:val="28"/>
          <w:szCs w:val="28"/>
        </w:rPr>
      </w:pPr>
      <w:r w:rsidRPr="009700A5">
        <w:rPr>
          <w:b/>
          <w:sz w:val="28"/>
          <w:szCs w:val="28"/>
        </w:rPr>
        <w:t xml:space="preserve">PROTOCOL for “Neuromelanin accumulation drives endogenous </w:t>
      </w:r>
      <w:proofErr w:type="spellStart"/>
      <w:r w:rsidRPr="009700A5">
        <w:rPr>
          <w:b/>
          <w:sz w:val="28"/>
          <w:szCs w:val="28"/>
        </w:rPr>
        <w:t>synucleinopathy</w:t>
      </w:r>
      <w:proofErr w:type="spellEnd"/>
      <w:r w:rsidRPr="009700A5">
        <w:rPr>
          <w:b/>
          <w:sz w:val="28"/>
          <w:szCs w:val="28"/>
        </w:rPr>
        <w:t xml:space="preserve"> in non-human primates”</w:t>
      </w:r>
    </w:p>
    <w:p w:rsidR="009700A5" w:rsidRPr="009700A5" w:rsidRDefault="009700A5" w:rsidP="009700A5">
      <w:pPr>
        <w:jc w:val="both"/>
        <w:rPr>
          <w:b/>
          <w:sz w:val="28"/>
          <w:szCs w:val="28"/>
        </w:rPr>
      </w:pPr>
    </w:p>
    <w:p w:rsidR="00FC7FC1" w:rsidRPr="009700A5" w:rsidRDefault="00874AB4" w:rsidP="009700A5">
      <w:pPr>
        <w:jc w:val="both"/>
        <w:rPr>
          <w:b/>
        </w:rPr>
      </w:pPr>
      <w:r w:rsidRPr="009700A5">
        <w:rPr>
          <w:b/>
        </w:rPr>
        <w:t>STUDY DESIGN</w:t>
      </w:r>
    </w:p>
    <w:p w:rsidR="00874AB4" w:rsidRDefault="00874AB4" w:rsidP="009700A5">
      <w:pPr>
        <w:spacing w:line="360" w:lineRule="auto"/>
        <w:jc w:val="both"/>
        <w:rPr>
          <w:rFonts w:cs="Times New Roman"/>
        </w:rPr>
      </w:pPr>
      <w:r w:rsidRPr="00A260F0">
        <w:rPr>
          <w:rFonts w:cs="Times New Roman"/>
        </w:rPr>
        <w:t xml:space="preserve">This study </w:t>
      </w:r>
      <w:proofErr w:type="gramStart"/>
      <w:r w:rsidRPr="00A260F0">
        <w:rPr>
          <w:rFonts w:cs="Times New Roman"/>
        </w:rPr>
        <w:t>was aimed</w:t>
      </w:r>
      <w:proofErr w:type="gramEnd"/>
      <w:r w:rsidRPr="00A260F0">
        <w:rPr>
          <w:rFonts w:cs="Times New Roman"/>
        </w:rPr>
        <w:t xml:space="preserve"> to develop and characterize a non-human primate (NHP) model of Parkinson’s disease mimicking the known neuropathological hallmarks of Parkinson’s disease to the best possible extent. </w:t>
      </w:r>
      <w:proofErr w:type="gramStart"/>
      <w:r w:rsidRPr="00A260F0">
        <w:rPr>
          <w:rFonts w:cs="Times New Roman"/>
        </w:rPr>
        <w:t xml:space="preserve">Accordingly, we sought to determine whether AAV-mediated enhanced expression of human </w:t>
      </w:r>
      <w:proofErr w:type="spellStart"/>
      <w:r w:rsidRPr="00A260F0">
        <w:rPr>
          <w:rFonts w:cs="Times New Roman"/>
        </w:rPr>
        <w:t>tyrosinase</w:t>
      </w:r>
      <w:proofErr w:type="spellEnd"/>
      <w:r w:rsidRPr="00A260F0">
        <w:rPr>
          <w:rFonts w:cs="Times New Roman"/>
        </w:rPr>
        <w:t xml:space="preserve"> (</w:t>
      </w:r>
      <w:proofErr w:type="spellStart"/>
      <w:r w:rsidRPr="00A260F0">
        <w:rPr>
          <w:rFonts w:cs="Times New Roman"/>
        </w:rPr>
        <w:t>hTyr</w:t>
      </w:r>
      <w:proofErr w:type="spellEnd"/>
      <w:r w:rsidRPr="00A260F0">
        <w:rPr>
          <w:rFonts w:cs="Times New Roman"/>
        </w:rPr>
        <w:t xml:space="preserve">) in the substantia </w:t>
      </w:r>
      <w:proofErr w:type="spellStart"/>
      <w:r w:rsidRPr="00A260F0">
        <w:rPr>
          <w:rFonts w:cs="Times New Roman"/>
        </w:rPr>
        <w:t>nigra</w:t>
      </w:r>
      <w:proofErr w:type="spellEnd"/>
      <w:r w:rsidRPr="00A260F0">
        <w:rPr>
          <w:rFonts w:cs="Times New Roman"/>
        </w:rPr>
        <w:t xml:space="preserve"> (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>) of non-human primates (NHPs) is able to induce a time-dependent accumulation of neuromelanin (</w:t>
      </w:r>
      <w:proofErr w:type="spellStart"/>
      <w:r w:rsidRPr="00A260F0">
        <w:rPr>
          <w:rFonts w:cs="Times New Roman"/>
        </w:rPr>
        <w:t>NMel</w:t>
      </w:r>
      <w:proofErr w:type="spellEnd"/>
      <w:r w:rsidRPr="00A260F0">
        <w:rPr>
          <w:rFonts w:cs="Times New Roman"/>
        </w:rPr>
        <w:t xml:space="preserve">) in dopaminergic neurons, further triggering and endogenous </w:t>
      </w:r>
      <w:proofErr w:type="spellStart"/>
      <w:r w:rsidRPr="00A260F0">
        <w:rPr>
          <w:rFonts w:cs="Times New Roman"/>
        </w:rPr>
        <w:t>synucleinopathy</w:t>
      </w:r>
      <w:proofErr w:type="spellEnd"/>
      <w:r w:rsidRPr="00A260F0">
        <w:rPr>
          <w:rFonts w:cs="Times New Roman"/>
        </w:rPr>
        <w:t>, progressive cell death and a pro-inflammatory scenario, in keeping with what was formerly reported in rats by taking advantage of a similar strategy</w:t>
      </w:r>
      <w:r w:rsidR="00867B20">
        <w:rPr>
          <w:rFonts w:cs="Times New Roman"/>
        </w:rPr>
        <w:t xml:space="preserve"> (</w:t>
      </w:r>
      <w:r w:rsidR="00A65EB4">
        <w:rPr>
          <w:rFonts w:cs="Times New Roman"/>
        </w:rPr>
        <w:t>Carballo-Carbajal et al., 2019)</w:t>
      </w:r>
      <w:r w:rsidRPr="00A260F0">
        <w:rPr>
          <w:rFonts w:cs="Times New Roman"/>
        </w:rPr>
        <w:t>.</w:t>
      </w:r>
      <w:proofErr w:type="gramEnd"/>
      <w:r w:rsidRPr="00A260F0">
        <w:rPr>
          <w:rFonts w:cs="Times New Roman"/>
        </w:rPr>
        <w:t xml:space="preserve"> Furthermore, the potential </w:t>
      </w:r>
      <w:proofErr w:type="spellStart"/>
      <w:r w:rsidRPr="00A260F0">
        <w:rPr>
          <w:rFonts w:cs="Times New Roman"/>
        </w:rPr>
        <w:t>prionoid</w:t>
      </w:r>
      <w:proofErr w:type="spellEnd"/>
      <w:r w:rsidRPr="00A260F0">
        <w:rPr>
          <w:rFonts w:cs="Times New Roman"/>
        </w:rPr>
        <w:t xml:space="preserve"> spread of endogenous alpha-synuclein (</w:t>
      </w:r>
      <w:r w:rsidRPr="00C33C19">
        <w:rPr>
          <w:rFonts w:ascii="Symbol" w:hAnsi="Symbol" w:cs="Times New Roman"/>
        </w:rPr>
        <w:t></w:t>
      </w:r>
      <w:r w:rsidRPr="00A260F0">
        <w:rPr>
          <w:rFonts w:cs="Times New Roman"/>
        </w:rPr>
        <w:t>-</w:t>
      </w:r>
      <w:proofErr w:type="spellStart"/>
      <w:r w:rsidRPr="00A260F0">
        <w:rPr>
          <w:rFonts w:cs="Times New Roman"/>
        </w:rPr>
        <w:t>Syn</w:t>
      </w:r>
      <w:proofErr w:type="spellEnd"/>
      <w:r w:rsidRPr="00A260F0">
        <w:rPr>
          <w:rFonts w:cs="Times New Roman"/>
        </w:rPr>
        <w:t xml:space="preserve">) species towards the prefrontal cortex was analyzed, in an attempt to evaluate to what extent there is a propagation of endogenous </w:t>
      </w:r>
      <w:r w:rsidRPr="00C33C19">
        <w:rPr>
          <w:rFonts w:ascii="Symbol" w:hAnsi="Symbol" w:cs="Times New Roman"/>
        </w:rPr>
        <w:t></w:t>
      </w:r>
      <w:r w:rsidRPr="00A260F0">
        <w:rPr>
          <w:rFonts w:cs="Times New Roman"/>
        </w:rPr>
        <w:t>-</w:t>
      </w:r>
      <w:proofErr w:type="spellStart"/>
      <w:r w:rsidRPr="00A260F0">
        <w:rPr>
          <w:rFonts w:cs="Times New Roman"/>
        </w:rPr>
        <w:t>Syn</w:t>
      </w:r>
      <w:proofErr w:type="spellEnd"/>
      <w:r w:rsidRPr="00A260F0">
        <w:rPr>
          <w:rFonts w:cs="Times New Roman"/>
        </w:rPr>
        <w:t xml:space="preserve"> by permissive trans-synaptic </w:t>
      </w:r>
      <w:proofErr w:type="spellStart"/>
      <w:r w:rsidRPr="00A260F0">
        <w:rPr>
          <w:rFonts w:cs="Times New Roman"/>
        </w:rPr>
        <w:t>templating</w:t>
      </w:r>
      <w:proofErr w:type="spellEnd"/>
      <w:r w:rsidRPr="00A260F0">
        <w:rPr>
          <w:rFonts w:cs="Times New Roman"/>
        </w:rPr>
        <w:t xml:space="preserve"> (e.g. the so-called </w:t>
      </w:r>
      <w:proofErr w:type="spellStart"/>
      <w:r w:rsidRPr="00A260F0">
        <w:rPr>
          <w:rFonts w:cs="Times New Roman"/>
        </w:rPr>
        <w:t>Braak</w:t>
      </w:r>
      <w:proofErr w:type="spellEnd"/>
      <w:r w:rsidRPr="00A260F0">
        <w:rPr>
          <w:rFonts w:cs="Times New Roman"/>
        </w:rPr>
        <w:t xml:space="preserve"> hypothesis). Adult juvenile NHPs (</w:t>
      </w:r>
      <w:proofErr w:type="spellStart"/>
      <w:r w:rsidRPr="00A260F0">
        <w:rPr>
          <w:rFonts w:cs="Times New Roman"/>
          <w:i/>
        </w:rPr>
        <w:t>Macaca</w:t>
      </w:r>
      <w:proofErr w:type="spellEnd"/>
      <w:r w:rsidRPr="00A260F0">
        <w:rPr>
          <w:rFonts w:cs="Times New Roman"/>
          <w:i/>
        </w:rPr>
        <w:t xml:space="preserve"> </w:t>
      </w:r>
      <w:proofErr w:type="spellStart"/>
      <w:r w:rsidRPr="00A260F0">
        <w:rPr>
          <w:rFonts w:cs="Times New Roman"/>
          <w:i/>
        </w:rPr>
        <w:t>fascicularis</w:t>
      </w:r>
      <w:proofErr w:type="spellEnd"/>
      <w:r w:rsidRPr="00A260F0">
        <w:rPr>
          <w:rFonts w:cs="Times New Roman"/>
        </w:rPr>
        <w:t xml:space="preserve">) were injected with adeno-associated viral vectors (AAVs) encoding either the </w:t>
      </w:r>
      <w:proofErr w:type="spellStart"/>
      <w:r w:rsidRPr="00A260F0">
        <w:rPr>
          <w:rFonts w:cs="Times New Roman"/>
        </w:rPr>
        <w:t>hTyr</w:t>
      </w:r>
      <w:proofErr w:type="spellEnd"/>
      <w:r w:rsidRPr="00A260F0">
        <w:rPr>
          <w:rFonts w:cs="Times New Roman"/>
        </w:rPr>
        <w:t xml:space="preserve"> gene (AAV-</w:t>
      </w:r>
      <w:proofErr w:type="spellStart"/>
      <w:r w:rsidRPr="00A260F0">
        <w:rPr>
          <w:rFonts w:cs="Times New Roman"/>
        </w:rPr>
        <w:t>hTyr</w:t>
      </w:r>
      <w:proofErr w:type="spellEnd"/>
      <w:r w:rsidRPr="00A260F0">
        <w:rPr>
          <w:rFonts w:cs="Times New Roman"/>
        </w:rPr>
        <w:t xml:space="preserve">; delivered into the left 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 xml:space="preserve">) or a null construct for control purposes (AAV-null; injected into the right 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 xml:space="preserve">). In order to delineate a timeline for the underlying processes, one group of NHPs was sacrificed four months post-AAV deliveries (animals M308F4 and M310M4), whereby the follow-up timing for second experimental group was settled at eight months post-AAVs surgeries (animals M307F8 and M309M8). </w:t>
      </w:r>
      <w:proofErr w:type="spellStart"/>
      <w:r w:rsidRPr="00A260F0">
        <w:rPr>
          <w:rFonts w:cs="Times New Roman"/>
        </w:rPr>
        <w:t>Neuroimage</w:t>
      </w:r>
      <w:proofErr w:type="spellEnd"/>
      <w:r w:rsidRPr="00A260F0">
        <w:rPr>
          <w:rFonts w:cs="Times New Roman"/>
        </w:rPr>
        <w:t xml:space="preserve"> studies (MRI and </w:t>
      </w:r>
      <w:proofErr w:type="spellStart"/>
      <w:r w:rsidRPr="00A260F0">
        <w:rPr>
          <w:rFonts w:cs="Times New Roman"/>
        </w:rPr>
        <w:t>MicroPET</w:t>
      </w:r>
      <w:proofErr w:type="spellEnd"/>
      <w:r w:rsidRPr="00A260F0">
        <w:rPr>
          <w:rFonts w:cs="Times New Roman"/>
        </w:rPr>
        <w:t xml:space="preserve">) </w:t>
      </w:r>
      <w:proofErr w:type="gramStart"/>
      <w:r w:rsidRPr="00A260F0">
        <w:rPr>
          <w:rFonts w:cs="Times New Roman"/>
        </w:rPr>
        <w:t>were conducted</w:t>
      </w:r>
      <w:proofErr w:type="gramEnd"/>
      <w:r w:rsidRPr="00A260F0">
        <w:rPr>
          <w:rFonts w:cs="Times New Roman"/>
        </w:rPr>
        <w:t xml:space="preserve"> </w:t>
      </w:r>
      <w:r w:rsidRPr="00A260F0">
        <w:rPr>
          <w:rFonts w:cs="Times New Roman"/>
          <w:i/>
        </w:rPr>
        <w:t>in vivo</w:t>
      </w:r>
      <w:r w:rsidRPr="00A260F0">
        <w:rPr>
          <w:rFonts w:cs="Times New Roman"/>
        </w:rPr>
        <w:t xml:space="preserve"> at different time points. Upon animal sacrifices, brain tissue samples </w:t>
      </w:r>
      <w:proofErr w:type="gramStart"/>
      <w:r w:rsidRPr="00A260F0">
        <w:rPr>
          <w:rFonts w:cs="Times New Roman"/>
        </w:rPr>
        <w:t>were processed</w:t>
      </w:r>
      <w:proofErr w:type="gramEnd"/>
      <w:r w:rsidRPr="00A260F0">
        <w:rPr>
          <w:rFonts w:cs="Times New Roman"/>
        </w:rPr>
        <w:t xml:space="preserve"> for histological analysis comprising intracellular </w:t>
      </w:r>
      <w:proofErr w:type="spellStart"/>
      <w:r w:rsidRPr="00A260F0">
        <w:rPr>
          <w:rFonts w:cs="Times New Roman"/>
        </w:rPr>
        <w:t>NMel</w:t>
      </w:r>
      <w:proofErr w:type="spellEnd"/>
      <w:r w:rsidRPr="00A260F0">
        <w:rPr>
          <w:rFonts w:cs="Times New Roman"/>
        </w:rPr>
        <w:t xml:space="preserve"> levels, intracellular aggregates, </w:t>
      </w:r>
      <w:proofErr w:type="spellStart"/>
      <w:r w:rsidRPr="00A260F0">
        <w:rPr>
          <w:rFonts w:cs="Times New Roman"/>
        </w:rPr>
        <w:t>nigrostriatal</w:t>
      </w:r>
      <w:proofErr w:type="spellEnd"/>
      <w:r w:rsidRPr="00A260F0">
        <w:rPr>
          <w:rFonts w:cs="Times New Roman"/>
        </w:rPr>
        <w:t xml:space="preserve"> degeneration and </w:t>
      </w:r>
      <w:proofErr w:type="spellStart"/>
      <w:r w:rsidRPr="00A260F0">
        <w:rPr>
          <w:rFonts w:cs="Times New Roman"/>
        </w:rPr>
        <w:t>neuroinflammation</w:t>
      </w:r>
      <w:proofErr w:type="spellEnd"/>
      <w:r w:rsidRPr="00A260F0">
        <w:rPr>
          <w:rFonts w:cs="Times New Roman"/>
        </w:rPr>
        <w:t>.</w:t>
      </w:r>
    </w:p>
    <w:p w:rsidR="00561433" w:rsidRDefault="00561433" w:rsidP="009700A5">
      <w:pPr>
        <w:spacing w:line="360" w:lineRule="auto"/>
        <w:jc w:val="both"/>
        <w:rPr>
          <w:rFonts w:cs="Times New Roman"/>
          <w:b/>
        </w:rPr>
      </w:pPr>
    </w:p>
    <w:p w:rsidR="009700A5" w:rsidRPr="009700A5" w:rsidRDefault="009700A5" w:rsidP="009700A5">
      <w:pPr>
        <w:spacing w:line="360" w:lineRule="auto"/>
        <w:jc w:val="both"/>
        <w:rPr>
          <w:rFonts w:cs="Times New Roman"/>
          <w:b/>
        </w:rPr>
      </w:pPr>
      <w:r w:rsidRPr="009700A5">
        <w:rPr>
          <w:rFonts w:cs="Times New Roman"/>
          <w:b/>
        </w:rPr>
        <w:t>EXPERIMENTAL ANIMALS</w:t>
      </w:r>
    </w:p>
    <w:p w:rsidR="009700A5" w:rsidRDefault="009700A5" w:rsidP="009700A5">
      <w:pPr>
        <w:spacing w:line="360" w:lineRule="auto"/>
        <w:jc w:val="both"/>
        <w:rPr>
          <w:rFonts w:cs="Times New Roman"/>
        </w:rPr>
      </w:pPr>
      <w:proofErr w:type="gramStart"/>
      <w:r w:rsidRPr="00A260F0">
        <w:rPr>
          <w:rFonts w:cs="Times New Roman"/>
        </w:rPr>
        <w:t>A total of four</w:t>
      </w:r>
      <w:proofErr w:type="gramEnd"/>
      <w:r w:rsidRPr="00A260F0">
        <w:rPr>
          <w:rFonts w:cs="Times New Roman"/>
        </w:rPr>
        <w:t xml:space="preserve"> adult juvenile</w:t>
      </w:r>
      <w:r>
        <w:rPr>
          <w:rFonts w:cs="Times New Roman"/>
        </w:rPr>
        <w:t xml:space="preserve"> naïve</w:t>
      </w:r>
      <w:r w:rsidRPr="00A260F0">
        <w:rPr>
          <w:rFonts w:cs="Times New Roman"/>
        </w:rPr>
        <w:t xml:space="preserve"> </w:t>
      </w:r>
      <w:proofErr w:type="spellStart"/>
      <w:r w:rsidRPr="00A260F0">
        <w:rPr>
          <w:rFonts w:cs="Times New Roman"/>
          <w:i/>
        </w:rPr>
        <w:t>Macaca</w:t>
      </w:r>
      <w:proofErr w:type="spellEnd"/>
      <w:r w:rsidRPr="00A260F0">
        <w:rPr>
          <w:rFonts w:cs="Times New Roman"/>
          <w:i/>
        </w:rPr>
        <w:t xml:space="preserve"> </w:t>
      </w:r>
      <w:proofErr w:type="spellStart"/>
      <w:r w:rsidRPr="00A260F0">
        <w:rPr>
          <w:rFonts w:cs="Times New Roman"/>
          <w:i/>
        </w:rPr>
        <w:t>fascicularis</w:t>
      </w:r>
      <w:proofErr w:type="spellEnd"/>
      <w:r w:rsidRPr="00A260F0">
        <w:rPr>
          <w:rFonts w:cs="Times New Roman"/>
        </w:rPr>
        <w:t xml:space="preserve"> non-human primates (36-40 months-old; two males and two females; body weight 2.3-4.5 Kg) were used in this study. Animal handling </w:t>
      </w:r>
      <w:proofErr w:type="gramStart"/>
      <w:r w:rsidRPr="00A260F0">
        <w:rPr>
          <w:rFonts w:cs="Times New Roman"/>
        </w:rPr>
        <w:t>was conducted</w:t>
      </w:r>
      <w:proofErr w:type="gramEnd"/>
      <w:r w:rsidRPr="00A260F0">
        <w:rPr>
          <w:rFonts w:cs="Times New Roman"/>
        </w:rPr>
        <w:t xml:space="preserve"> in accordance to the European Council Directive 2010/63/UE as well as in keeping with Spanish legislation (RD53/2013). The experimental design was approved by the Ethical Committee for Animal Testing of the University of Navarra (ref: CEEA095/21) as well as by the Department of Animal Welfare of the Government of Navarra (ref: 222E/2021). Animals </w:t>
      </w:r>
      <w:r w:rsidRPr="00A260F0">
        <w:rPr>
          <w:rFonts w:cs="Times New Roman"/>
        </w:rPr>
        <w:lastRenderedPageBreak/>
        <w:t xml:space="preserve">numbered as M307F8 and M308F4 are females, whereas animals M309M8 and M310M4 are both males. Animal records </w:t>
      </w:r>
      <w:proofErr w:type="gramStart"/>
      <w:r>
        <w:rPr>
          <w:rFonts w:cs="Times New Roman"/>
        </w:rPr>
        <w:t>are</w:t>
      </w:r>
      <w:r w:rsidRPr="00A260F0">
        <w:rPr>
          <w:rFonts w:cs="Times New Roman"/>
        </w:rPr>
        <w:t xml:space="preserve"> </w:t>
      </w:r>
      <w:r w:rsidR="00684332">
        <w:rPr>
          <w:rFonts w:cs="Times New Roman"/>
        </w:rPr>
        <w:t>provided</w:t>
      </w:r>
      <w:proofErr w:type="gramEnd"/>
      <w:r w:rsidR="00684332">
        <w:rPr>
          <w:rFonts w:cs="Times New Roman"/>
        </w:rPr>
        <w:t xml:space="preserve"> below</w:t>
      </w:r>
      <w:r w:rsidRPr="00A260F0">
        <w:rPr>
          <w:rFonts w:cs="Times New Roman"/>
        </w:rPr>
        <w:t>.</w:t>
      </w:r>
    </w:p>
    <w:p w:rsidR="00684332" w:rsidRPr="007F76A4" w:rsidRDefault="00684332" w:rsidP="006843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6A4">
        <w:rPr>
          <w:rFonts w:ascii="Times New Roman" w:hAnsi="Times New Roman" w:cs="Times New Roman"/>
          <w:b/>
          <w:sz w:val="24"/>
          <w:szCs w:val="24"/>
        </w:rPr>
        <w:t>Animal records</w:t>
      </w:r>
    </w:p>
    <w:tbl>
      <w:tblPr>
        <w:tblStyle w:val="Tablaconcuadrcula"/>
        <w:tblW w:w="8579" w:type="dxa"/>
        <w:tblInd w:w="5" w:type="dxa"/>
        <w:tblLook w:val="04A0" w:firstRow="1" w:lastRow="0" w:firstColumn="1" w:lastColumn="0" w:noHBand="0" w:noVBand="1"/>
      </w:tblPr>
      <w:tblGrid>
        <w:gridCol w:w="856"/>
        <w:gridCol w:w="778"/>
        <w:gridCol w:w="1984"/>
        <w:gridCol w:w="2428"/>
        <w:gridCol w:w="1043"/>
        <w:gridCol w:w="1490"/>
      </w:tblGrid>
      <w:tr w:rsidR="00684332" w:rsidRPr="00021190" w:rsidTr="00505F90">
        <w:tc>
          <w:tcPr>
            <w:tcW w:w="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021190" w:rsidRDefault="00684332" w:rsidP="00684332">
            <w:pPr>
              <w:spacing w:line="360" w:lineRule="auto"/>
              <w:ind w:left="-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190">
              <w:rPr>
                <w:rFonts w:ascii="Arial" w:hAnsi="Arial" w:cs="Arial"/>
                <w:sz w:val="16"/>
                <w:szCs w:val="16"/>
              </w:rPr>
              <w:t>Monkey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021190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190"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021190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190">
              <w:rPr>
                <w:rFonts w:ascii="Arial" w:hAnsi="Arial" w:cs="Arial"/>
                <w:sz w:val="16"/>
                <w:szCs w:val="16"/>
              </w:rPr>
              <w:t>Weight &amp; date of arrival</w:t>
            </w: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021190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190">
              <w:rPr>
                <w:rFonts w:ascii="Arial" w:hAnsi="Arial" w:cs="Arial"/>
                <w:sz w:val="16"/>
                <w:szCs w:val="16"/>
              </w:rPr>
              <w:t>date of birth – date of sacrifice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021190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190">
              <w:rPr>
                <w:rFonts w:ascii="Arial" w:hAnsi="Arial" w:cs="Arial"/>
                <w:sz w:val="16"/>
                <w:szCs w:val="16"/>
              </w:rPr>
              <w:t xml:space="preserve">Follow-up 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021190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190">
              <w:rPr>
                <w:rFonts w:ascii="Arial" w:hAnsi="Arial" w:cs="Arial"/>
                <w:sz w:val="16"/>
                <w:szCs w:val="16"/>
              </w:rPr>
              <w:t>Supplier</w:t>
            </w:r>
          </w:p>
        </w:tc>
      </w:tr>
      <w:tr w:rsidR="00684332" w:rsidRPr="00CA2299" w:rsidTr="00505F90"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M307F8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2.373 Kg (16/06/2020)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20/11/2017 – 02/03/2021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months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BioPrim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(France)</w:t>
            </w:r>
          </w:p>
        </w:tc>
      </w:tr>
      <w:tr w:rsidR="00684332" w:rsidRPr="00CA2299" w:rsidTr="00505F90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M308F4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2.430 Kg (16/06/2020)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21/11/2017 – 15/12/2020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months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BioPrim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(France)</w:t>
            </w:r>
          </w:p>
        </w:tc>
      </w:tr>
      <w:tr w:rsidR="00684332" w:rsidRPr="00CA2299" w:rsidTr="00505F90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M309M8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4.508 Kg (11/06/2020)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02/07/2017 – 02/03/2021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months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BioPrim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(France)</w:t>
            </w:r>
          </w:p>
        </w:tc>
      </w:tr>
      <w:tr w:rsidR="00684332" w:rsidRPr="00CA2299" w:rsidTr="00505F90"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M310M4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3.783 Kg (11/06/2020)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07/07/2017 – 15/12/2020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months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332" w:rsidRPr="00CA2299" w:rsidRDefault="00684332" w:rsidP="0068433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BioPrim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(France)</w:t>
            </w:r>
          </w:p>
        </w:tc>
      </w:tr>
    </w:tbl>
    <w:p w:rsidR="00684332" w:rsidRPr="00A260F0" w:rsidRDefault="00684332" w:rsidP="009700A5">
      <w:pPr>
        <w:spacing w:line="360" w:lineRule="auto"/>
        <w:jc w:val="both"/>
        <w:rPr>
          <w:rFonts w:cs="Times New Roman"/>
        </w:rPr>
      </w:pPr>
    </w:p>
    <w:p w:rsidR="00561433" w:rsidRDefault="00561433" w:rsidP="009700A5">
      <w:pPr>
        <w:spacing w:line="360" w:lineRule="auto"/>
        <w:jc w:val="both"/>
        <w:rPr>
          <w:rFonts w:cs="Times New Roman"/>
          <w:b/>
        </w:rPr>
      </w:pPr>
    </w:p>
    <w:p w:rsidR="009700A5" w:rsidRPr="009700A5" w:rsidRDefault="009700A5" w:rsidP="009700A5">
      <w:pPr>
        <w:spacing w:line="360" w:lineRule="auto"/>
        <w:jc w:val="both"/>
        <w:rPr>
          <w:rFonts w:cs="Times New Roman"/>
          <w:b/>
        </w:rPr>
      </w:pPr>
      <w:r w:rsidRPr="009700A5">
        <w:rPr>
          <w:rFonts w:cs="Times New Roman"/>
          <w:b/>
        </w:rPr>
        <w:t>PROTOCOL #1: VIRAL VECTOR PRODUCTION</w:t>
      </w:r>
    </w:p>
    <w:p w:rsidR="009700A5" w:rsidRDefault="009700A5" w:rsidP="009700A5">
      <w:pPr>
        <w:spacing w:line="360" w:lineRule="auto"/>
        <w:jc w:val="both"/>
        <w:rPr>
          <w:rFonts w:cs="Times New Roman"/>
        </w:rPr>
      </w:pPr>
      <w:r w:rsidRPr="00A260F0">
        <w:rPr>
          <w:rFonts w:cs="Times New Roman"/>
        </w:rPr>
        <w:t xml:space="preserve">Recombinant AAV vector serotype 2/1 expressing the human </w:t>
      </w:r>
      <w:proofErr w:type="spellStart"/>
      <w:r w:rsidRPr="00A260F0">
        <w:rPr>
          <w:rFonts w:cs="Times New Roman"/>
        </w:rPr>
        <w:t>tyrosinase</w:t>
      </w:r>
      <w:proofErr w:type="spellEnd"/>
      <w:r w:rsidRPr="00A260F0">
        <w:rPr>
          <w:rFonts w:cs="Times New Roman"/>
        </w:rPr>
        <w:t xml:space="preserve"> cDNA driven by the CMV promoter (AAV-</w:t>
      </w:r>
      <w:proofErr w:type="spellStart"/>
      <w:r w:rsidRPr="00A260F0">
        <w:rPr>
          <w:rFonts w:cs="Times New Roman"/>
        </w:rPr>
        <w:t>hTyr</w:t>
      </w:r>
      <w:proofErr w:type="spellEnd"/>
      <w:r w:rsidRPr="00A260F0">
        <w:rPr>
          <w:rFonts w:cs="Times New Roman"/>
        </w:rPr>
        <w:t xml:space="preserve">) and the corresponding control empty vector (AAV-null) </w:t>
      </w:r>
      <w:proofErr w:type="gramStart"/>
      <w:r w:rsidRPr="00A260F0">
        <w:rPr>
          <w:rFonts w:cs="Times New Roman"/>
        </w:rPr>
        <w:t>were produced</w:t>
      </w:r>
      <w:proofErr w:type="gramEnd"/>
      <w:r w:rsidRPr="00A260F0">
        <w:rPr>
          <w:rFonts w:cs="Times New Roman"/>
        </w:rPr>
        <w:t xml:space="preserve"> at the Viral Vector Core Production Unit of the Autonomous University of Barcelona</w:t>
      </w:r>
      <w:r>
        <w:rPr>
          <w:rFonts w:cs="Times New Roman"/>
        </w:rPr>
        <w:t xml:space="preserve"> (UPV-UAB)</w:t>
      </w:r>
      <w:r w:rsidRPr="00A260F0">
        <w:rPr>
          <w:rFonts w:cs="Times New Roman"/>
        </w:rPr>
        <w:t xml:space="preserve">. In </w:t>
      </w:r>
      <w:r>
        <w:rPr>
          <w:rFonts w:cs="Times New Roman"/>
        </w:rPr>
        <w:t xml:space="preserve">brief, </w:t>
      </w:r>
      <w:r w:rsidRPr="00A260F0">
        <w:rPr>
          <w:rFonts w:cs="Times New Roman"/>
        </w:rPr>
        <w:t xml:space="preserve">AAVs </w:t>
      </w:r>
      <w:proofErr w:type="gramStart"/>
      <w:r w:rsidRPr="00A260F0">
        <w:rPr>
          <w:rFonts w:cs="Times New Roman"/>
        </w:rPr>
        <w:t>were produced</w:t>
      </w:r>
      <w:proofErr w:type="gramEnd"/>
      <w:r w:rsidRPr="00A260F0">
        <w:rPr>
          <w:rFonts w:cs="Times New Roman"/>
        </w:rPr>
        <w:t xml:space="preserve"> by triple transfection of 2 x 108 HEK293 cells with 250 </w:t>
      </w:r>
      <w:r w:rsidRPr="00C33C19">
        <w:rPr>
          <w:rFonts w:ascii="Symbol" w:hAnsi="Symbol" w:cs="Times New Roman"/>
        </w:rPr>
        <w:t></w:t>
      </w:r>
      <w:r w:rsidRPr="00A260F0">
        <w:rPr>
          <w:rFonts w:cs="Times New Roman"/>
        </w:rPr>
        <w:t xml:space="preserve">g of </w:t>
      </w:r>
      <w:proofErr w:type="spellStart"/>
      <w:r w:rsidRPr="00A260F0">
        <w:rPr>
          <w:rFonts w:cs="Times New Roman"/>
        </w:rPr>
        <w:t>pAAV</w:t>
      </w:r>
      <w:proofErr w:type="spellEnd"/>
      <w:r w:rsidRPr="00A260F0">
        <w:rPr>
          <w:rFonts w:cs="Times New Roman"/>
        </w:rPr>
        <w:t xml:space="preserve">, 250 </w:t>
      </w:r>
      <w:r w:rsidRPr="00C33C19">
        <w:rPr>
          <w:rFonts w:ascii="Symbol" w:hAnsi="Symbol" w:cs="Times New Roman"/>
        </w:rPr>
        <w:t></w:t>
      </w:r>
      <w:r w:rsidRPr="00A260F0">
        <w:rPr>
          <w:rFonts w:cs="Times New Roman"/>
        </w:rPr>
        <w:t xml:space="preserve">g of </w:t>
      </w:r>
      <w:proofErr w:type="spellStart"/>
      <w:r w:rsidRPr="00A260F0">
        <w:rPr>
          <w:rFonts w:cs="Times New Roman"/>
        </w:rPr>
        <w:t>pRepCap</w:t>
      </w:r>
      <w:proofErr w:type="spellEnd"/>
      <w:r w:rsidRPr="00A260F0">
        <w:rPr>
          <w:rFonts w:cs="Times New Roman"/>
        </w:rPr>
        <w:t xml:space="preserve">, and 500 </w:t>
      </w:r>
      <w:r w:rsidRPr="00C33C19">
        <w:rPr>
          <w:rFonts w:ascii="Symbol" w:hAnsi="Symbol" w:cs="Times New Roman"/>
        </w:rPr>
        <w:t></w:t>
      </w:r>
      <w:r w:rsidRPr="00A260F0">
        <w:rPr>
          <w:rFonts w:cs="Times New Roman"/>
        </w:rPr>
        <w:t xml:space="preserve">g of pXX6 plasmid mixed with </w:t>
      </w:r>
      <w:proofErr w:type="spellStart"/>
      <w:r w:rsidRPr="00A260F0">
        <w:rPr>
          <w:rFonts w:cs="Times New Roman"/>
        </w:rPr>
        <w:t>polyethylenimine</w:t>
      </w:r>
      <w:proofErr w:type="spellEnd"/>
      <w:r w:rsidRPr="00A260F0">
        <w:rPr>
          <w:rFonts w:cs="Times New Roman"/>
        </w:rPr>
        <w:t xml:space="preserve"> (Sigma-Aldrich). The UPV-UAB generated a </w:t>
      </w:r>
      <w:proofErr w:type="spellStart"/>
      <w:r w:rsidRPr="00A260F0">
        <w:rPr>
          <w:rFonts w:cs="Times New Roman"/>
        </w:rPr>
        <w:t>pAAV</w:t>
      </w:r>
      <w:proofErr w:type="spellEnd"/>
      <w:r w:rsidRPr="00A260F0">
        <w:rPr>
          <w:rFonts w:cs="Times New Roman"/>
        </w:rPr>
        <w:t xml:space="preserve"> plasmid containing the ITRs of the AAV2 genome, a multi-cloning site to facilitate cloning of expression cassettes, and ampicillin resistance gene for selection. Two days after transfection, cells </w:t>
      </w:r>
      <w:proofErr w:type="gramStart"/>
      <w:r w:rsidRPr="00A260F0">
        <w:rPr>
          <w:rFonts w:cs="Times New Roman"/>
        </w:rPr>
        <w:t xml:space="preserve">were harvested by centrifugation, </w:t>
      </w:r>
      <w:proofErr w:type="spellStart"/>
      <w:r w:rsidRPr="00A260F0">
        <w:rPr>
          <w:rFonts w:cs="Times New Roman"/>
        </w:rPr>
        <w:t>resuspended</w:t>
      </w:r>
      <w:proofErr w:type="spellEnd"/>
      <w:r w:rsidRPr="00A260F0">
        <w:rPr>
          <w:rFonts w:cs="Times New Roman"/>
        </w:rPr>
        <w:t xml:space="preserve"> in 30 ml of 20 </w:t>
      </w:r>
      <w:proofErr w:type="spellStart"/>
      <w:r w:rsidRPr="00A260F0">
        <w:rPr>
          <w:rFonts w:cs="Times New Roman"/>
        </w:rPr>
        <w:t>mM</w:t>
      </w:r>
      <w:proofErr w:type="spellEnd"/>
      <w:r w:rsidRPr="00A260F0">
        <w:rPr>
          <w:rFonts w:cs="Times New Roman"/>
        </w:rPr>
        <w:t xml:space="preserve"> </w:t>
      </w:r>
      <w:proofErr w:type="spellStart"/>
      <w:r w:rsidRPr="00A260F0">
        <w:rPr>
          <w:rFonts w:cs="Times New Roman"/>
        </w:rPr>
        <w:t>NaCl</w:t>
      </w:r>
      <w:proofErr w:type="spellEnd"/>
      <w:r w:rsidRPr="00A260F0">
        <w:rPr>
          <w:rFonts w:cs="Times New Roman"/>
        </w:rPr>
        <w:t xml:space="preserve">, 2 </w:t>
      </w:r>
      <w:proofErr w:type="spellStart"/>
      <w:r w:rsidRPr="00A260F0">
        <w:rPr>
          <w:rFonts w:cs="Times New Roman"/>
        </w:rPr>
        <w:t>mM</w:t>
      </w:r>
      <w:proofErr w:type="spellEnd"/>
      <w:r w:rsidRPr="00A260F0">
        <w:rPr>
          <w:rFonts w:cs="Times New Roman"/>
        </w:rPr>
        <w:t xml:space="preserve"> MgCl</w:t>
      </w:r>
      <w:r w:rsidRPr="00A260F0">
        <w:rPr>
          <w:rFonts w:cs="Times New Roman"/>
          <w:vertAlign w:val="subscript"/>
        </w:rPr>
        <w:t>2</w:t>
      </w:r>
      <w:r w:rsidRPr="00A260F0">
        <w:rPr>
          <w:rFonts w:cs="Times New Roman"/>
        </w:rPr>
        <w:t xml:space="preserve">, and 50 </w:t>
      </w:r>
      <w:proofErr w:type="spellStart"/>
      <w:r w:rsidRPr="00A260F0">
        <w:rPr>
          <w:rFonts w:cs="Times New Roman"/>
        </w:rPr>
        <w:t>mM</w:t>
      </w:r>
      <w:proofErr w:type="spellEnd"/>
      <w:r w:rsidRPr="00A260F0">
        <w:rPr>
          <w:rFonts w:cs="Times New Roman"/>
        </w:rPr>
        <w:t xml:space="preserve"> </w:t>
      </w:r>
      <w:proofErr w:type="spellStart"/>
      <w:r w:rsidRPr="00A260F0">
        <w:rPr>
          <w:rFonts w:cs="Times New Roman"/>
        </w:rPr>
        <w:t>Tris-HCl</w:t>
      </w:r>
      <w:proofErr w:type="spellEnd"/>
      <w:r w:rsidRPr="00A260F0">
        <w:rPr>
          <w:rFonts w:cs="Times New Roman"/>
        </w:rPr>
        <w:t xml:space="preserve"> (pH 8.5) and lysed by three freeze-thawing cycles</w:t>
      </w:r>
      <w:proofErr w:type="gramEnd"/>
      <w:r w:rsidRPr="00A260F0">
        <w:rPr>
          <w:rFonts w:cs="Times New Roman"/>
        </w:rPr>
        <w:t xml:space="preserve">. Cell lysate </w:t>
      </w:r>
      <w:proofErr w:type="gramStart"/>
      <w:r w:rsidRPr="00A260F0">
        <w:rPr>
          <w:rFonts w:cs="Times New Roman"/>
        </w:rPr>
        <w:t>was clari</w:t>
      </w:r>
      <w:r>
        <w:rPr>
          <w:rFonts w:cs="Times New Roman"/>
        </w:rPr>
        <w:t>fied</w:t>
      </w:r>
      <w:proofErr w:type="gramEnd"/>
      <w:r>
        <w:rPr>
          <w:rFonts w:cs="Times New Roman"/>
        </w:rPr>
        <w:t xml:space="preserve"> by centrifugation and the </w:t>
      </w:r>
      <w:r w:rsidRPr="00A260F0">
        <w:rPr>
          <w:rFonts w:cs="Times New Roman"/>
        </w:rPr>
        <w:t xml:space="preserve">AAV particles were purified from the supernatant by </w:t>
      </w:r>
      <w:proofErr w:type="spellStart"/>
      <w:r w:rsidRPr="00A260F0">
        <w:rPr>
          <w:rFonts w:cs="Times New Roman"/>
        </w:rPr>
        <w:t>iodixanol</w:t>
      </w:r>
      <w:proofErr w:type="spellEnd"/>
      <w:r w:rsidRPr="00A260F0">
        <w:rPr>
          <w:rFonts w:cs="Times New Roman"/>
        </w:rPr>
        <w:t xml:space="preserve"> gradient as previously described</w:t>
      </w:r>
      <w:r w:rsidR="00867B20">
        <w:rPr>
          <w:rFonts w:cs="Times New Roman"/>
        </w:rPr>
        <w:t xml:space="preserve"> (</w:t>
      </w:r>
      <w:proofErr w:type="spellStart"/>
      <w:r w:rsidR="00A65EB4">
        <w:rPr>
          <w:rFonts w:cs="Times New Roman"/>
        </w:rPr>
        <w:t>Zolotukhin</w:t>
      </w:r>
      <w:proofErr w:type="spellEnd"/>
      <w:r w:rsidR="00A65EB4">
        <w:rPr>
          <w:rFonts w:cs="Times New Roman"/>
        </w:rPr>
        <w:t xml:space="preserve"> et al., 1999)</w:t>
      </w:r>
      <w:r w:rsidRPr="00A260F0">
        <w:rPr>
          <w:rFonts w:cs="Times New Roman"/>
        </w:rPr>
        <w:t xml:space="preserve">. Next, the clarified lysate </w:t>
      </w:r>
      <w:proofErr w:type="gramStart"/>
      <w:r w:rsidRPr="00A260F0">
        <w:rPr>
          <w:rFonts w:cs="Times New Roman"/>
        </w:rPr>
        <w:t xml:space="preserve">was treated with 50U/ml of </w:t>
      </w:r>
      <w:proofErr w:type="spellStart"/>
      <w:r w:rsidRPr="00A260F0">
        <w:rPr>
          <w:rFonts w:cs="Times New Roman"/>
        </w:rPr>
        <w:t>benzonase</w:t>
      </w:r>
      <w:proofErr w:type="spellEnd"/>
      <w:r w:rsidRPr="00A260F0">
        <w:rPr>
          <w:rFonts w:cs="Times New Roman"/>
        </w:rPr>
        <w:t xml:space="preserve"> (</w:t>
      </w:r>
      <w:proofErr w:type="spellStart"/>
      <w:r w:rsidRPr="00A260F0">
        <w:rPr>
          <w:rFonts w:cs="Times New Roman"/>
        </w:rPr>
        <w:t>Novagen</w:t>
      </w:r>
      <w:proofErr w:type="spellEnd"/>
      <w:r w:rsidRPr="00A260F0">
        <w:rPr>
          <w:rFonts w:cs="Times New Roman"/>
        </w:rPr>
        <w:t>; 1 h at 37 ºC) and centrifuged</w:t>
      </w:r>
      <w:proofErr w:type="gramEnd"/>
      <w:r w:rsidRPr="00A260F0">
        <w:rPr>
          <w:rFonts w:cs="Times New Roman"/>
        </w:rPr>
        <w:t xml:space="preserve">. The vector-containing supernatant </w:t>
      </w:r>
      <w:proofErr w:type="gramStart"/>
      <w:r w:rsidRPr="00A260F0">
        <w:rPr>
          <w:rFonts w:cs="Times New Roman"/>
        </w:rPr>
        <w:t xml:space="preserve">was collected and adjusted to 200 </w:t>
      </w:r>
      <w:proofErr w:type="spellStart"/>
      <w:r w:rsidRPr="00A260F0">
        <w:rPr>
          <w:rFonts w:cs="Times New Roman"/>
        </w:rPr>
        <w:t>mM</w:t>
      </w:r>
      <w:proofErr w:type="spellEnd"/>
      <w:r w:rsidRPr="00A260F0">
        <w:rPr>
          <w:rFonts w:cs="Times New Roman"/>
        </w:rPr>
        <w:t xml:space="preserve"> </w:t>
      </w:r>
      <w:proofErr w:type="spellStart"/>
      <w:r w:rsidRPr="00A260F0">
        <w:rPr>
          <w:rFonts w:cs="Times New Roman"/>
        </w:rPr>
        <w:t>NaCl</w:t>
      </w:r>
      <w:proofErr w:type="spellEnd"/>
      <w:r w:rsidRPr="00A260F0">
        <w:rPr>
          <w:rFonts w:cs="Times New Roman"/>
        </w:rPr>
        <w:t xml:space="preserve"> using a 5-M stock solution</w:t>
      </w:r>
      <w:proofErr w:type="gramEnd"/>
      <w:r w:rsidRPr="00A260F0">
        <w:rPr>
          <w:rFonts w:cs="Times New Roman"/>
        </w:rPr>
        <w:t xml:space="preserve">. To precipitate the virus from the clarified cell lysate, polyethylene glycol (Sigma-Aldrich) </w:t>
      </w:r>
      <w:proofErr w:type="gramStart"/>
      <w:r w:rsidRPr="00A260F0">
        <w:rPr>
          <w:rFonts w:cs="Times New Roman"/>
        </w:rPr>
        <w:t>was added</w:t>
      </w:r>
      <w:proofErr w:type="gramEnd"/>
      <w:r w:rsidRPr="00A260F0">
        <w:rPr>
          <w:rFonts w:cs="Times New Roman"/>
        </w:rPr>
        <w:t xml:space="preserve"> to a final concentration of 8% and the mixture was incubated (3 h, 4 ºC) and centrifuged. AAV containing pellets were </w:t>
      </w:r>
      <w:proofErr w:type="spellStart"/>
      <w:r w:rsidRPr="00A260F0">
        <w:rPr>
          <w:rFonts w:cs="Times New Roman"/>
        </w:rPr>
        <w:t>resuspended</w:t>
      </w:r>
      <w:proofErr w:type="spellEnd"/>
      <w:r w:rsidRPr="00A260F0">
        <w:rPr>
          <w:rFonts w:cs="Times New Roman"/>
        </w:rPr>
        <w:t xml:space="preserve"> in 20 </w:t>
      </w:r>
      <w:proofErr w:type="spellStart"/>
      <w:r w:rsidRPr="00A260F0">
        <w:rPr>
          <w:rFonts w:cs="Times New Roman"/>
        </w:rPr>
        <w:t>mM</w:t>
      </w:r>
      <w:proofErr w:type="spellEnd"/>
      <w:r w:rsidRPr="00A260F0">
        <w:rPr>
          <w:rFonts w:cs="Times New Roman"/>
        </w:rPr>
        <w:t xml:space="preserve"> </w:t>
      </w:r>
      <w:proofErr w:type="spellStart"/>
      <w:r w:rsidRPr="00A260F0">
        <w:rPr>
          <w:rFonts w:cs="Times New Roman"/>
        </w:rPr>
        <w:t>NaCl</w:t>
      </w:r>
      <w:proofErr w:type="spellEnd"/>
      <w:r w:rsidRPr="00A260F0">
        <w:rPr>
          <w:rFonts w:cs="Times New Roman"/>
        </w:rPr>
        <w:t xml:space="preserve">, 2 </w:t>
      </w:r>
      <w:proofErr w:type="spellStart"/>
      <w:r w:rsidRPr="00A260F0">
        <w:rPr>
          <w:rFonts w:cs="Times New Roman"/>
        </w:rPr>
        <w:t>mM</w:t>
      </w:r>
      <w:proofErr w:type="spellEnd"/>
      <w:r w:rsidRPr="00A260F0">
        <w:rPr>
          <w:rFonts w:cs="Times New Roman"/>
        </w:rPr>
        <w:t xml:space="preserve"> MgCl</w:t>
      </w:r>
      <w:r w:rsidRPr="00A260F0">
        <w:rPr>
          <w:rFonts w:cs="Times New Roman"/>
          <w:vertAlign w:val="subscript"/>
        </w:rPr>
        <w:t>2</w:t>
      </w:r>
      <w:r w:rsidRPr="00A260F0">
        <w:rPr>
          <w:rFonts w:cs="Times New Roman"/>
        </w:rPr>
        <w:t xml:space="preserve"> and 50 </w:t>
      </w:r>
      <w:proofErr w:type="spellStart"/>
      <w:r w:rsidRPr="00A260F0">
        <w:rPr>
          <w:rFonts w:cs="Times New Roman"/>
        </w:rPr>
        <w:t>mM</w:t>
      </w:r>
      <w:proofErr w:type="spellEnd"/>
      <w:r w:rsidRPr="00A260F0">
        <w:rPr>
          <w:rFonts w:cs="Times New Roman"/>
        </w:rPr>
        <w:t xml:space="preserve"> </w:t>
      </w:r>
      <w:proofErr w:type="spellStart"/>
      <w:r w:rsidRPr="00A260F0">
        <w:rPr>
          <w:rFonts w:cs="Times New Roman"/>
        </w:rPr>
        <w:t>Tris-HCl</w:t>
      </w:r>
      <w:proofErr w:type="spellEnd"/>
      <w:r w:rsidRPr="00A260F0">
        <w:rPr>
          <w:rFonts w:cs="Times New Roman"/>
        </w:rPr>
        <w:t xml:space="preserve"> (pH 8.5) and i</w:t>
      </w:r>
      <w:r>
        <w:rPr>
          <w:rFonts w:cs="Times New Roman"/>
        </w:rPr>
        <w:t xml:space="preserve">ncubated for 48 h at </w:t>
      </w:r>
      <w:proofErr w:type="gramStart"/>
      <w:r>
        <w:rPr>
          <w:rFonts w:cs="Times New Roman"/>
        </w:rPr>
        <w:t>4</w:t>
      </w:r>
      <w:proofErr w:type="gramEnd"/>
      <w:r>
        <w:rPr>
          <w:rFonts w:cs="Times New Roman"/>
        </w:rPr>
        <w:t xml:space="preserve"> ºC. The </w:t>
      </w:r>
      <w:r w:rsidRPr="00A260F0">
        <w:rPr>
          <w:rFonts w:cs="Times New Roman"/>
        </w:rPr>
        <w:t xml:space="preserve">AAV titration method used </w:t>
      </w:r>
      <w:proofErr w:type="gramStart"/>
      <w:r w:rsidRPr="00A260F0">
        <w:rPr>
          <w:rFonts w:cs="Times New Roman"/>
        </w:rPr>
        <w:t>was based</w:t>
      </w:r>
      <w:proofErr w:type="gramEnd"/>
      <w:r w:rsidRPr="00A260F0">
        <w:rPr>
          <w:rFonts w:cs="Times New Roman"/>
        </w:rPr>
        <w:t xml:space="preserve"> on the quantitation of encapsulated DNA with the fluorescent dye </w:t>
      </w:r>
      <w:proofErr w:type="spellStart"/>
      <w:r w:rsidRPr="00A260F0">
        <w:rPr>
          <w:rFonts w:cs="Times New Roman"/>
        </w:rPr>
        <w:t>PicoGreen</w:t>
      </w:r>
      <w:proofErr w:type="spellEnd"/>
      <w:r w:rsidRPr="00A260F0">
        <w:rPr>
          <w:rFonts w:cs="Times New Roman"/>
        </w:rPr>
        <w:t>®. Obtained vector concentrations were 1.7 x 10</w:t>
      </w:r>
      <w:r w:rsidRPr="00A260F0">
        <w:rPr>
          <w:rFonts w:cs="Times New Roman"/>
          <w:vertAlign w:val="superscript"/>
        </w:rPr>
        <w:t>13</w:t>
      </w:r>
      <w:r w:rsidRPr="00A260F0">
        <w:rPr>
          <w:rFonts w:cs="Times New Roman"/>
        </w:rPr>
        <w:t xml:space="preserve"> </w:t>
      </w:r>
      <w:proofErr w:type="spellStart"/>
      <w:r w:rsidRPr="00A260F0">
        <w:rPr>
          <w:rFonts w:cs="Times New Roman"/>
        </w:rPr>
        <w:t>gc</w:t>
      </w:r>
      <w:proofErr w:type="spellEnd"/>
      <w:r w:rsidRPr="00A260F0">
        <w:rPr>
          <w:rFonts w:cs="Times New Roman"/>
        </w:rPr>
        <w:t>/ml for AAV-</w:t>
      </w:r>
      <w:proofErr w:type="spellStart"/>
      <w:r w:rsidRPr="00A260F0">
        <w:rPr>
          <w:rFonts w:cs="Times New Roman"/>
        </w:rPr>
        <w:t>hTyr</w:t>
      </w:r>
      <w:proofErr w:type="spellEnd"/>
      <w:r w:rsidRPr="00A260F0">
        <w:rPr>
          <w:rFonts w:cs="Times New Roman"/>
        </w:rPr>
        <w:t xml:space="preserve"> and 2.48 x 10</w:t>
      </w:r>
      <w:r w:rsidRPr="00A260F0">
        <w:rPr>
          <w:rFonts w:cs="Times New Roman"/>
          <w:vertAlign w:val="superscript"/>
        </w:rPr>
        <w:t>13</w:t>
      </w:r>
      <w:r w:rsidRPr="00A260F0">
        <w:rPr>
          <w:rFonts w:cs="Times New Roman"/>
        </w:rPr>
        <w:t xml:space="preserve"> for AAV-null.</w:t>
      </w:r>
      <w:r>
        <w:rPr>
          <w:rFonts w:cs="Times New Roman"/>
        </w:rPr>
        <w:t xml:space="preserve"> Plasmid map for </w:t>
      </w:r>
      <w:proofErr w:type="spellStart"/>
      <w:r>
        <w:rPr>
          <w:rFonts w:cs="Times New Roman"/>
        </w:rPr>
        <w:t>pAAV</w:t>
      </w:r>
      <w:proofErr w:type="spellEnd"/>
      <w:r>
        <w:rPr>
          <w:rFonts w:cs="Times New Roman"/>
        </w:rPr>
        <w:t>-CMV-</w:t>
      </w:r>
      <w:proofErr w:type="spellStart"/>
      <w:r>
        <w:rPr>
          <w:rFonts w:cs="Times New Roman"/>
        </w:rPr>
        <w:t>hTyr</w:t>
      </w:r>
      <w:proofErr w:type="spellEnd"/>
      <w:r>
        <w:rPr>
          <w:rFonts w:cs="Times New Roman"/>
        </w:rPr>
        <w:t xml:space="preserve"> and sequence </w:t>
      </w:r>
      <w:proofErr w:type="gramStart"/>
      <w:r>
        <w:rPr>
          <w:rFonts w:cs="Times New Roman"/>
        </w:rPr>
        <w:t>are provided</w:t>
      </w:r>
      <w:proofErr w:type="gramEnd"/>
      <w:r>
        <w:rPr>
          <w:rFonts w:cs="Times New Roman"/>
        </w:rPr>
        <w:t xml:space="preserve"> </w:t>
      </w:r>
      <w:r w:rsidR="00561433">
        <w:rPr>
          <w:rFonts w:cs="Times New Roman"/>
        </w:rPr>
        <w:t>below</w:t>
      </w:r>
      <w:r>
        <w:rPr>
          <w:rFonts w:cs="Times New Roman"/>
        </w:rPr>
        <w:t>.</w:t>
      </w:r>
    </w:p>
    <w:p w:rsidR="00561433" w:rsidRDefault="00561433" w:rsidP="009700A5">
      <w:pPr>
        <w:spacing w:line="360" w:lineRule="auto"/>
        <w:jc w:val="both"/>
        <w:rPr>
          <w:rFonts w:cs="Times New Roman"/>
        </w:rPr>
      </w:pPr>
    </w:p>
    <w:p w:rsidR="00561433" w:rsidRDefault="00561433" w:rsidP="009700A5">
      <w:pPr>
        <w:spacing w:line="360" w:lineRule="auto"/>
        <w:jc w:val="both"/>
        <w:rPr>
          <w:rFonts w:cs="Times New Roman"/>
        </w:rPr>
      </w:pPr>
    </w:p>
    <w:p w:rsidR="00561433" w:rsidRPr="00561433" w:rsidRDefault="00561433" w:rsidP="00561433">
      <w:pPr>
        <w:spacing w:line="360" w:lineRule="auto"/>
        <w:ind w:left="3544" w:hanging="425"/>
        <w:jc w:val="both"/>
        <w:rPr>
          <w:rFonts w:cs="Times New Roman"/>
          <w:b/>
        </w:rPr>
      </w:pPr>
      <w:r w:rsidRPr="00561433">
        <w:rPr>
          <w:rFonts w:cs="Times New Roman"/>
          <w:b/>
        </w:rPr>
        <w:lastRenderedPageBreak/>
        <w:t xml:space="preserve">Plasmid map for </w:t>
      </w:r>
      <w:proofErr w:type="spellStart"/>
      <w:r w:rsidRPr="00561433">
        <w:rPr>
          <w:rFonts w:cs="Times New Roman"/>
          <w:b/>
        </w:rPr>
        <w:t>pAAV-hTyr</w:t>
      </w:r>
      <w:proofErr w:type="spellEnd"/>
      <w:r>
        <w:rPr>
          <w:rFonts w:cs="Times New Roman"/>
          <w:b/>
        </w:rPr>
        <w:t>:</w:t>
      </w:r>
    </w:p>
    <w:p w:rsidR="00561433" w:rsidRDefault="00561433" w:rsidP="00561433">
      <w:pPr>
        <w:spacing w:line="360" w:lineRule="auto"/>
        <w:ind w:left="1701"/>
        <w:jc w:val="both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299155" cy="2787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. Figure 1 (pAAV-CMV-TYR_Map)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95" cy="282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33" w:rsidRPr="00561433" w:rsidRDefault="00561433" w:rsidP="00561433">
      <w:pPr>
        <w:spacing w:line="360" w:lineRule="auto"/>
        <w:ind w:left="3544" w:hanging="425"/>
        <w:jc w:val="both"/>
        <w:rPr>
          <w:rFonts w:cs="Times New Roman"/>
          <w:b/>
        </w:rPr>
      </w:pPr>
      <w:r>
        <w:rPr>
          <w:rFonts w:cs="Times New Roman"/>
          <w:b/>
        </w:rPr>
        <w:t>Sequence</w:t>
      </w:r>
      <w:r w:rsidRPr="00561433">
        <w:rPr>
          <w:rFonts w:cs="Times New Roman"/>
          <w:b/>
        </w:rPr>
        <w:t xml:space="preserve"> for </w:t>
      </w:r>
      <w:proofErr w:type="spellStart"/>
      <w:r w:rsidRPr="00561433">
        <w:rPr>
          <w:rFonts w:cs="Times New Roman"/>
          <w:b/>
        </w:rPr>
        <w:t>pAAV-hTyr</w:t>
      </w:r>
      <w:proofErr w:type="spellEnd"/>
      <w:r>
        <w:rPr>
          <w:rFonts w:cs="Times New Roman"/>
          <w:b/>
        </w:rPr>
        <w:t>: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CAGCAGCTGCGCGCTCGCTCGCTCACTGAGGCCGCCCGGGCAAAGCCCGGGCGTCGGGCGACCTTTGGTCGCCCGGCCTC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AGTGAGCGAGCGAGCGCGCAGAGAGGGAGTGGCCAACTCCATCACTAGGGGTTCCTTGTAGTTAATGATTAACCCGCCAT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GCTACTTATCTACGTAGCCATGCTCTAGACATGGCTCGACAGATCTCAATATTGGCCATTAGCCATATTATTCATTGGTT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ATATAGCATAAATCAATATTGGCTATTGGCCATTGCATACGTTGTATCTATATCATAATATGTACATTTATATTGGCTCA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TGTCCAATATGACCGCCATGTTGGCATTGATTATTGACTAGTTATTAATAGTAATCAATTACGGGGTCATTAGTTCATAG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CCCATATATGGAGTTCCGCGTTACATAACTTACGGTAAATGGCCCGCCTGGCTGACCGCCCAACGACCCCCGCCCATTGA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CGTCAATAATGACGTATGTTCCCATAGTAACGCCAATAGGGACTTTCCATTGACGTCAATGGGTGGAGTATTTACGGTAA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ACTGCCCACTTGGCAGTACATCAAGTGTATCATATGCCAAGTCCGCCCCCTATTGACGTCAATGACGGTAAATGGCCCGC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CTGGCATTATGCCCAGTACATGACCTTACGGGACTTTCCTACTTGGCAGTACATCTACGTATTAGTCATCGCTATTACCA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TGGTGATGCGGTTTTGGCAGTACACCAATGGGCGTGGATAGCGGTTTGACTCACGGGGATTTCCAAGTCTCCACCCCATT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GACGTCAATGGGAGTTTGTTTTGGCACCAAAATCAACGGGACTTTCCAAAATGTCGTAACAACTGCGATCGCCCGCCCCG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lastRenderedPageBreak/>
        <w:t>TTGACGCAAATGGGCGGTAGGCGTGTACGGTGGGAGGTCTATATAAGCAGAGCTCGTTTAGTGAACCGTCAGATCACTAG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AAGCTTTATTGCGGTAGTTTATCACAGTTAAATTGCTAACGCAGTCAGTGCTTCTGACACAACAGTCTCGAACTTAAGCT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GCAGTGACTCTCTTAAGGTAGCCTTGCAGAAGTTGGTCGTGAGGCACTGGGCAGGTAAGTATCAAGGTTACAAGACAGGT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TTAAGGAGACCAATAGAAACTGGGCTTGTCGAGACAGAGAAGACTCTTGCGTTTCTGATAGGCACCTATTGGTCTTACTG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ACATCCACTTTGCCTTTCTCTCCACAGGTGTCCACTCCCAGTTCAATTACAGCTCTTAAGGCTAGAGTACTTAATACGAC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TCACTATAGGCTAGCctcgacctcgagacgcgtgataaacttaagcttggtaccgagctcggatccactagtccagtgtg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gtggaattctgcagatatccagcacagtggcggccgctcgaccGACCTTGTGAGGACTAGAGGAAGAATGCTCCTGGCTG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TTTTGTACTGCCTGCTGTGGAGTTTCCAGACCTCCGCTGGCCATTTCCCTAGAGCCTGTGTCTCCTCTAAGAACCTGATG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GAGAAGGAATGCTGTCCACCGTGGAGCGGGGACAGGAGTCCCTGTGGCCAGCTTTCAGGCAGAGGTTCCTGTCAGAATAT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CCTTCTGTCCAATGCACCACTTGGGCCTCAATTTCCCTTCACAGGGGTGGATGACCGGGAGTCGTGGCCTTCCGTCTTTT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ATAATAGGACCTGCCAGTGCTCTGGCAACTTCATGGGATTCAACTGTGGAAACTGCAAGTTTGGCTTTTGGGGACCAAAC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TGCACAGAGAGACGACTCTTGGTGAGAAGAAACATCTTCGATTTGAGTGCCCCAGAGAAGGACAAATTTTTTGCCTACCT</w:t>
      </w:r>
    </w:p>
    <w:p w:rsidR="00561433" w:rsidRPr="000B103A" w:rsidRDefault="00561433" w:rsidP="00561433">
      <w:pPr>
        <w:rPr>
          <w:rFonts w:ascii="Courier" w:hAnsi="Courier"/>
          <w:noProof/>
          <w:color w:val="000000"/>
        </w:rPr>
      </w:pPr>
      <w:r w:rsidRPr="000B103A">
        <w:rPr>
          <w:rFonts w:ascii="Courier" w:hAnsi="Courier"/>
          <w:noProof/>
          <w:color w:val="000000"/>
        </w:rPr>
        <w:t>CACTTTAGCAAAGCATACCATCAGCTCAGACTATGTCATCCCCATAGGGACCTATGGCCAAATGAAAAATGGATCAACAC</w:t>
      </w:r>
    </w:p>
    <w:p w:rsidR="00561433" w:rsidRDefault="00561433" w:rsidP="009700A5">
      <w:pPr>
        <w:spacing w:line="360" w:lineRule="auto"/>
        <w:jc w:val="both"/>
        <w:rPr>
          <w:rFonts w:cs="Times New Roman"/>
          <w:b/>
        </w:rPr>
      </w:pPr>
    </w:p>
    <w:p w:rsidR="009700A5" w:rsidRPr="009700A5" w:rsidRDefault="009700A5" w:rsidP="009700A5">
      <w:pPr>
        <w:spacing w:line="360" w:lineRule="auto"/>
        <w:jc w:val="both"/>
        <w:rPr>
          <w:rFonts w:cs="Times New Roman"/>
          <w:b/>
        </w:rPr>
      </w:pPr>
      <w:r w:rsidRPr="009700A5">
        <w:rPr>
          <w:rFonts w:cs="Times New Roman"/>
          <w:b/>
        </w:rPr>
        <w:t>PROTOCOL #2: STEREOTAXIC SURGERY FOR AAV DELIVERIES</w:t>
      </w:r>
    </w:p>
    <w:p w:rsidR="009700A5" w:rsidRPr="00A260F0" w:rsidRDefault="009700A5" w:rsidP="009700A5">
      <w:pPr>
        <w:spacing w:line="360" w:lineRule="auto"/>
        <w:jc w:val="both"/>
        <w:rPr>
          <w:rFonts w:cs="Times New Roman"/>
        </w:rPr>
      </w:pPr>
      <w:r w:rsidRPr="00A260F0">
        <w:rPr>
          <w:rFonts w:cs="Times New Roman"/>
        </w:rPr>
        <w:t xml:space="preserve">Surgical anesthesia </w:t>
      </w:r>
      <w:proofErr w:type="gramStart"/>
      <w:r w:rsidRPr="00A260F0">
        <w:rPr>
          <w:rFonts w:cs="Times New Roman"/>
        </w:rPr>
        <w:t>was induced</w:t>
      </w:r>
      <w:proofErr w:type="gramEnd"/>
      <w:r w:rsidRPr="00A260F0">
        <w:rPr>
          <w:rFonts w:cs="Times New Roman"/>
        </w:rPr>
        <w:t xml:space="preserve"> by intramuscular injection of ketamine (5 mg/Kg) and midazolam (5 mg/Kg). Local anesthesia </w:t>
      </w:r>
      <w:proofErr w:type="gramStart"/>
      <w:r w:rsidRPr="00A260F0">
        <w:rPr>
          <w:rFonts w:cs="Times New Roman"/>
        </w:rPr>
        <w:t>was implemented</w:t>
      </w:r>
      <w:proofErr w:type="gramEnd"/>
      <w:r w:rsidRPr="00A260F0">
        <w:rPr>
          <w:rFonts w:cs="Times New Roman"/>
        </w:rPr>
        <w:t xml:space="preserve"> just before surgery with a 10% solution of lidocaine. Analgesia was achieved with a single intramuscular injection of </w:t>
      </w:r>
      <w:proofErr w:type="spellStart"/>
      <w:r w:rsidRPr="00A260F0">
        <w:rPr>
          <w:rFonts w:cs="Times New Roman"/>
        </w:rPr>
        <w:t>flunixin</w:t>
      </w:r>
      <w:proofErr w:type="spellEnd"/>
      <w:r w:rsidRPr="00A260F0">
        <w:rPr>
          <w:rFonts w:cs="Times New Roman"/>
        </w:rPr>
        <w:t xml:space="preserve"> </w:t>
      </w:r>
      <w:proofErr w:type="spellStart"/>
      <w:r w:rsidRPr="00A260F0">
        <w:rPr>
          <w:rFonts w:cs="Times New Roman"/>
        </w:rPr>
        <w:t>meglumine</w:t>
      </w:r>
      <w:proofErr w:type="spellEnd"/>
      <w:r w:rsidRPr="00A260F0">
        <w:rPr>
          <w:rFonts w:cs="Times New Roman"/>
        </w:rPr>
        <w:t xml:space="preserve"> (</w:t>
      </w:r>
      <w:proofErr w:type="spellStart"/>
      <w:r w:rsidRPr="00A260F0">
        <w:rPr>
          <w:rFonts w:cs="Times New Roman"/>
        </w:rPr>
        <w:t>Finadyne</w:t>
      </w:r>
      <w:proofErr w:type="spellEnd"/>
      <w:r w:rsidRPr="00A260F0">
        <w:rPr>
          <w:rFonts w:cs="Times New Roman"/>
        </w:rPr>
        <w:t xml:space="preserve">®, 5 mg/Kg) delivered at the end of the surgical procedure and repeated 24 and 48 h post-surgery. A similar schedule </w:t>
      </w:r>
      <w:proofErr w:type="gramStart"/>
      <w:r w:rsidRPr="00A260F0">
        <w:rPr>
          <w:rFonts w:cs="Times New Roman"/>
        </w:rPr>
        <w:t>was conducted</w:t>
      </w:r>
      <w:proofErr w:type="gramEnd"/>
      <w:r w:rsidRPr="00A260F0">
        <w:rPr>
          <w:rFonts w:cs="Times New Roman"/>
        </w:rPr>
        <w:t xml:space="preserve"> for antibiotic coverage (ampicillin, 0.5 mL/day). After surgery, animals </w:t>
      </w:r>
      <w:proofErr w:type="gramStart"/>
      <w:r w:rsidRPr="00A260F0">
        <w:rPr>
          <w:rFonts w:cs="Times New Roman"/>
        </w:rPr>
        <w:t>were kept</w:t>
      </w:r>
      <w:proofErr w:type="gramEnd"/>
      <w:r w:rsidRPr="00A260F0">
        <w:rPr>
          <w:rFonts w:cs="Times New Roman"/>
        </w:rPr>
        <w:t xml:space="preserve"> under constant monitoring in individual cages with ad libitum access to food and water. Once animals showed a complete post-surgical recovery (24 h), they </w:t>
      </w:r>
      <w:proofErr w:type="gramStart"/>
      <w:r w:rsidRPr="00A260F0">
        <w:rPr>
          <w:rFonts w:cs="Times New Roman"/>
        </w:rPr>
        <w:t>were returned to the animal vivarium and housed in groups</w:t>
      </w:r>
      <w:proofErr w:type="gramEnd"/>
      <w:r w:rsidRPr="00A260F0">
        <w:rPr>
          <w:rFonts w:cs="Times New Roman"/>
        </w:rPr>
        <w:t>.</w:t>
      </w:r>
    </w:p>
    <w:p w:rsidR="009700A5" w:rsidRDefault="009700A5" w:rsidP="009700A5">
      <w:pPr>
        <w:spacing w:line="360" w:lineRule="auto"/>
        <w:jc w:val="both"/>
        <w:rPr>
          <w:rFonts w:cs="Times New Roman"/>
        </w:rPr>
      </w:pPr>
      <w:r w:rsidRPr="00A260F0">
        <w:rPr>
          <w:rFonts w:cs="Times New Roman"/>
        </w:rPr>
        <w:lastRenderedPageBreak/>
        <w:t xml:space="preserve">Stereotaxic coordinates for AAV deliveries into the 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 xml:space="preserve"> </w:t>
      </w:r>
      <w:proofErr w:type="gramStart"/>
      <w:r w:rsidRPr="00A260F0">
        <w:rPr>
          <w:rFonts w:cs="Times New Roman"/>
        </w:rPr>
        <w:t>were calculated</w:t>
      </w:r>
      <w:proofErr w:type="gramEnd"/>
      <w:r w:rsidRPr="00A260F0">
        <w:rPr>
          <w:rFonts w:cs="Times New Roman"/>
        </w:rPr>
        <w:t xml:space="preserve"> from the atlas of Lanciego and Vázquez</w:t>
      </w:r>
      <w:r w:rsidR="00867B20">
        <w:rPr>
          <w:rFonts w:cs="Times New Roman"/>
        </w:rPr>
        <w:t xml:space="preserve"> (</w:t>
      </w:r>
      <w:r w:rsidR="00A65EB4">
        <w:rPr>
          <w:rFonts w:cs="Times New Roman"/>
        </w:rPr>
        <w:t>2012)</w:t>
      </w:r>
      <w:r w:rsidRPr="00A260F0">
        <w:rPr>
          <w:rFonts w:cs="Times New Roman"/>
        </w:rPr>
        <w:t xml:space="preserve">. During surgery, target selection </w:t>
      </w:r>
      <w:proofErr w:type="gramStart"/>
      <w:r w:rsidRPr="00A260F0">
        <w:rPr>
          <w:rFonts w:cs="Times New Roman"/>
        </w:rPr>
        <w:t>was assisted</w:t>
      </w:r>
      <w:proofErr w:type="gramEnd"/>
      <w:r w:rsidRPr="00A260F0">
        <w:rPr>
          <w:rFonts w:cs="Times New Roman"/>
        </w:rPr>
        <w:t xml:space="preserve"> by </w:t>
      </w:r>
      <w:proofErr w:type="spellStart"/>
      <w:r w:rsidRPr="00A260F0">
        <w:rPr>
          <w:rFonts w:cs="Times New Roman"/>
        </w:rPr>
        <w:t>ventriculography</w:t>
      </w:r>
      <w:proofErr w:type="spellEnd"/>
      <w:r w:rsidRPr="00A260F0">
        <w:rPr>
          <w:rFonts w:cs="Times New Roman"/>
        </w:rPr>
        <w:t xml:space="preserve">. Pressure deliveries of AAVs were made through a Hamilton® syringe in pulses of </w:t>
      </w:r>
      <w:proofErr w:type="gramStart"/>
      <w:r w:rsidRPr="00A260F0">
        <w:rPr>
          <w:rFonts w:cs="Times New Roman"/>
        </w:rPr>
        <w:t>1</w:t>
      </w:r>
      <w:proofErr w:type="gramEnd"/>
      <w:r w:rsidRPr="00A260F0">
        <w:rPr>
          <w:rFonts w:cs="Times New Roman"/>
        </w:rPr>
        <w:t xml:space="preserve"> </w:t>
      </w:r>
      <w:r w:rsidRPr="00C33C19">
        <w:rPr>
          <w:rFonts w:ascii="Symbol" w:hAnsi="Symbol" w:cs="Times New Roman"/>
        </w:rPr>
        <w:t></w:t>
      </w:r>
      <w:r w:rsidRPr="00A260F0">
        <w:rPr>
          <w:rFonts w:cs="Times New Roman"/>
        </w:rPr>
        <w:t xml:space="preserve">L/min for a total volume of 10 </w:t>
      </w:r>
      <w:r w:rsidRPr="00C33C19">
        <w:rPr>
          <w:rFonts w:ascii="Symbol" w:hAnsi="Symbol" w:cs="Times New Roman"/>
        </w:rPr>
        <w:t></w:t>
      </w:r>
      <w:r w:rsidRPr="00A260F0">
        <w:rPr>
          <w:rFonts w:cs="Times New Roman"/>
        </w:rPr>
        <w:t xml:space="preserve">L each into two sites in the 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 xml:space="preserve">, each deposit spaced 1 mm in the </w:t>
      </w:r>
      <w:proofErr w:type="spellStart"/>
      <w:r w:rsidRPr="00A260F0">
        <w:rPr>
          <w:rFonts w:cs="Times New Roman"/>
        </w:rPr>
        <w:t>rostrocaudal</w:t>
      </w:r>
      <w:proofErr w:type="spellEnd"/>
      <w:r w:rsidRPr="00A260F0">
        <w:rPr>
          <w:rFonts w:cs="Times New Roman"/>
        </w:rPr>
        <w:t xml:space="preserve"> direction to obtain the highest possible transduction extent of the 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 xml:space="preserve">. Once injections were completed, the needle </w:t>
      </w:r>
      <w:proofErr w:type="gramStart"/>
      <w:r w:rsidRPr="00A260F0">
        <w:rPr>
          <w:rFonts w:cs="Times New Roman"/>
        </w:rPr>
        <w:t>was left</w:t>
      </w:r>
      <w:proofErr w:type="gramEnd"/>
      <w:r w:rsidRPr="00A260F0">
        <w:rPr>
          <w:rFonts w:cs="Times New Roman"/>
        </w:rPr>
        <w:t xml:space="preserve"> in place for an additional time of 10 min before withdrawal to minimize AAV reflux through the injection tract. </w:t>
      </w:r>
      <w:proofErr w:type="gramStart"/>
      <w:r w:rsidRPr="00A260F0">
        <w:rPr>
          <w:rFonts w:cs="Times New Roman"/>
        </w:rPr>
        <w:t xml:space="preserve">Coordinates for the more rostral deposits in the 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 xml:space="preserve"> of AAV-</w:t>
      </w:r>
      <w:proofErr w:type="spellStart"/>
      <w:r w:rsidRPr="00A260F0">
        <w:rPr>
          <w:rFonts w:cs="Times New Roman"/>
        </w:rPr>
        <w:t>hTyr</w:t>
      </w:r>
      <w:proofErr w:type="spellEnd"/>
      <w:r w:rsidRPr="00A260F0">
        <w:rPr>
          <w:rFonts w:cs="Times New Roman"/>
        </w:rPr>
        <w:t xml:space="preserve"> (left 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 xml:space="preserve">) and AAV-null (right </w:t>
      </w:r>
      <w:proofErr w:type="spellStart"/>
      <w:r w:rsidRPr="00A260F0">
        <w:rPr>
          <w:rFonts w:cs="Times New Roman"/>
        </w:rPr>
        <w:t>SNpc</w:t>
      </w:r>
      <w:proofErr w:type="spellEnd"/>
      <w:r w:rsidRPr="00A260F0">
        <w:rPr>
          <w:rFonts w:cs="Times New Roman"/>
        </w:rPr>
        <w:t xml:space="preserve">) were 7.5 mm caudal to the anterior commissure (ac), 5 mm ventral to the </w:t>
      </w:r>
      <w:proofErr w:type="spellStart"/>
      <w:r w:rsidRPr="00A260F0">
        <w:rPr>
          <w:rFonts w:cs="Times New Roman"/>
        </w:rPr>
        <w:t>bicommissural</w:t>
      </w:r>
      <w:proofErr w:type="spellEnd"/>
      <w:r w:rsidRPr="00A260F0">
        <w:rPr>
          <w:rFonts w:cs="Times New Roman"/>
        </w:rPr>
        <w:t xml:space="preserve"> plane (ac-pc plane) and 4 mm lateral to the midline, whereby the more caudal deposits were placed 8.5 mm caudal to ac, 5.5 mm ventral to the ac-pc plane and 4 mm lateral to the midline.</w:t>
      </w:r>
      <w:proofErr w:type="gramEnd"/>
    </w:p>
    <w:p w:rsidR="00561433" w:rsidRDefault="00561433" w:rsidP="009700A5">
      <w:pPr>
        <w:spacing w:line="360" w:lineRule="auto"/>
        <w:jc w:val="both"/>
        <w:rPr>
          <w:rFonts w:cs="Times New Roman"/>
          <w:b/>
        </w:rPr>
      </w:pPr>
    </w:p>
    <w:p w:rsidR="009700A5" w:rsidRDefault="009700A5" w:rsidP="009700A5">
      <w:pPr>
        <w:spacing w:line="360" w:lineRule="auto"/>
        <w:jc w:val="both"/>
        <w:rPr>
          <w:rFonts w:cs="Times New Roman"/>
          <w:b/>
        </w:rPr>
      </w:pPr>
      <w:r w:rsidRPr="009700A5">
        <w:rPr>
          <w:rFonts w:cs="Times New Roman"/>
          <w:b/>
        </w:rPr>
        <w:t>PROTOCOL #3: NEUROIMAGE STUDIES</w:t>
      </w:r>
      <w:r>
        <w:rPr>
          <w:rFonts w:cs="Times New Roman"/>
          <w:b/>
        </w:rPr>
        <w:t xml:space="preserve"> (MICROPET SCANS)</w:t>
      </w:r>
    </w:p>
    <w:p w:rsidR="009700A5" w:rsidRPr="00A236B4" w:rsidRDefault="009700A5" w:rsidP="009700A5">
      <w:pPr>
        <w:spacing w:line="360" w:lineRule="auto"/>
        <w:jc w:val="both"/>
        <w:rPr>
          <w:rFonts w:cs="Times New Roman"/>
          <w:szCs w:val="24"/>
        </w:rPr>
      </w:pPr>
      <w:proofErr w:type="spellStart"/>
      <w:r w:rsidRPr="00A236B4">
        <w:rPr>
          <w:rFonts w:cs="Times New Roman"/>
        </w:rPr>
        <w:t>MicroPET</w:t>
      </w:r>
      <w:proofErr w:type="spellEnd"/>
      <w:r w:rsidRPr="00A236B4">
        <w:rPr>
          <w:rFonts w:cs="Times New Roman"/>
        </w:rPr>
        <w:t xml:space="preserve"> scans with (+)-</w:t>
      </w:r>
      <w:r w:rsidRPr="00C33C19">
        <w:rPr>
          <w:rFonts w:ascii="Symbol" w:hAnsi="Symbol" w:cs="Times New Roman"/>
        </w:rPr>
        <w:t></w:t>
      </w:r>
      <w:r w:rsidRPr="00A236B4">
        <w:rPr>
          <w:rFonts w:cs="Times New Roman"/>
        </w:rPr>
        <w:t>-[</w:t>
      </w:r>
      <w:r w:rsidRPr="00A236B4">
        <w:rPr>
          <w:rFonts w:cs="Times New Roman"/>
          <w:vertAlign w:val="superscript"/>
        </w:rPr>
        <w:t>11</w:t>
      </w:r>
      <w:r w:rsidRPr="00A236B4">
        <w:rPr>
          <w:rFonts w:cs="Times New Roman"/>
        </w:rPr>
        <w:t>C]</w:t>
      </w:r>
      <w:proofErr w:type="spellStart"/>
      <w:r w:rsidRPr="00A236B4">
        <w:rPr>
          <w:rFonts w:cs="Times New Roman"/>
        </w:rPr>
        <w:t>Dihydrotetrabenazine</w:t>
      </w:r>
      <w:proofErr w:type="spellEnd"/>
      <w:r w:rsidRPr="00A236B4">
        <w:rPr>
          <w:rFonts w:cs="Times New Roman"/>
        </w:rPr>
        <w:t xml:space="preserve"> (</w:t>
      </w:r>
      <w:r w:rsidRPr="00A236B4">
        <w:rPr>
          <w:rFonts w:cs="Times New Roman"/>
          <w:vertAlign w:val="superscript"/>
        </w:rPr>
        <w:t>11</w:t>
      </w:r>
      <w:r w:rsidRPr="00A236B4">
        <w:rPr>
          <w:rFonts w:cs="Times New Roman"/>
        </w:rPr>
        <w:t>C-DTBZ; a selective VMAT2 ligand) were performed on each animal at baseline and 1, 2, 4, 6 and 8 months post-AAV deliveries (6 and 8 time points only applying to animals with 8 months of follow-up). (+)-</w:t>
      </w:r>
      <w:r w:rsidRPr="00C33C19">
        <w:rPr>
          <w:rFonts w:ascii="Symbol" w:hAnsi="Symbol" w:cs="Times New Roman"/>
        </w:rPr>
        <w:t></w:t>
      </w:r>
      <w:r w:rsidRPr="00A236B4">
        <w:rPr>
          <w:rFonts w:cs="Times New Roman"/>
        </w:rPr>
        <w:t>-[</w:t>
      </w:r>
      <w:r w:rsidRPr="00A236B4">
        <w:rPr>
          <w:rFonts w:cs="Times New Roman"/>
          <w:vertAlign w:val="superscript"/>
        </w:rPr>
        <w:t>11</w:t>
      </w:r>
      <w:r w:rsidRPr="00A236B4">
        <w:rPr>
          <w:rFonts w:cs="Times New Roman"/>
        </w:rPr>
        <w:t>C]</w:t>
      </w:r>
      <w:proofErr w:type="spellStart"/>
      <w:r w:rsidRPr="00A236B4">
        <w:rPr>
          <w:rFonts w:cs="Times New Roman"/>
        </w:rPr>
        <w:t>Dihydrotetrabenazine</w:t>
      </w:r>
      <w:proofErr w:type="spellEnd"/>
      <w:r w:rsidRPr="00A236B4">
        <w:rPr>
          <w:rFonts w:cs="Times New Roman"/>
        </w:rPr>
        <w:t xml:space="preserve"> was synthesized by [</w:t>
      </w:r>
      <w:r w:rsidRPr="00A236B4">
        <w:rPr>
          <w:rFonts w:cs="Times New Roman"/>
          <w:vertAlign w:val="superscript"/>
        </w:rPr>
        <w:t>11</w:t>
      </w:r>
      <w:r w:rsidRPr="00A236B4">
        <w:rPr>
          <w:rFonts w:cs="Times New Roman"/>
        </w:rPr>
        <w:t>C]CH3 methylation of the corresponding (+)-9-O-desmehtyl-a-dihydrotetrabenazine precursor. [</w:t>
      </w:r>
      <w:r w:rsidRPr="00A236B4">
        <w:rPr>
          <w:rFonts w:cs="Times New Roman"/>
          <w:vertAlign w:val="superscript"/>
        </w:rPr>
        <w:t>11</w:t>
      </w:r>
      <w:r w:rsidRPr="00A236B4">
        <w:rPr>
          <w:rFonts w:cs="Times New Roman"/>
        </w:rPr>
        <w:t>C]methane was obtained by the wet chemistry method starting from [</w:t>
      </w:r>
      <w:r w:rsidRPr="00A236B4">
        <w:rPr>
          <w:rFonts w:cs="Times New Roman"/>
          <w:vertAlign w:val="superscript"/>
        </w:rPr>
        <w:t>11</w:t>
      </w:r>
      <w:r w:rsidRPr="00A236B4">
        <w:rPr>
          <w:rFonts w:cs="Times New Roman"/>
        </w:rPr>
        <w:t xml:space="preserve">C]CO2 </w:t>
      </w:r>
      <w:proofErr w:type="spellStart"/>
      <w:r w:rsidRPr="00A236B4">
        <w:rPr>
          <w:rFonts w:cs="Times New Roman"/>
        </w:rPr>
        <w:t>porduced</w:t>
      </w:r>
      <w:proofErr w:type="spellEnd"/>
      <w:r w:rsidRPr="00A236B4">
        <w:rPr>
          <w:rFonts w:cs="Times New Roman"/>
        </w:rPr>
        <w:t xml:space="preserve"> in the Cyclone 18/18 cyclotron at the Department of Nuclear Medicine, </w:t>
      </w:r>
      <w:proofErr w:type="spellStart"/>
      <w:r w:rsidRPr="00A236B4">
        <w:rPr>
          <w:rFonts w:cs="Times New Roman"/>
        </w:rPr>
        <w:t>Clínica</w:t>
      </w:r>
      <w:proofErr w:type="spellEnd"/>
      <w:r w:rsidRPr="00A236B4">
        <w:rPr>
          <w:rFonts w:cs="Times New Roman"/>
        </w:rPr>
        <w:t xml:space="preserve"> Universidad de Navarra, with a radiochemical purity </w:t>
      </w:r>
      <w:r w:rsidRPr="00A236B4">
        <w:rPr>
          <w:rFonts w:cs="Times New Roman"/>
          <w:szCs w:val="24"/>
        </w:rPr>
        <w:t xml:space="preserve">of &gt;95%. Images </w:t>
      </w:r>
      <w:proofErr w:type="gramStart"/>
      <w:r w:rsidRPr="00A236B4">
        <w:rPr>
          <w:rFonts w:cs="Times New Roman"/>
          <w:szCs w:val="24"/>
        </w:rPr>
        <w:t>were acquired</w:t>
      </w:r>
      <w:proofErr w:type="gramEnd"/>
      <w:r w:rsidRPr="00A236B4">
        <w:rPr>
          <w:rFonts w:cs="Times New Roman"/>
          <w:szCs w:val="24"/>
        </w:rPr>
        <w:t xml:space="preserve"> on a dedicated small animal Philips mosaic </w:t>
      </w:r>
      <w:proofErr w:type="spellStart"/>
      <w:r w:rsidRPr="00A236B4">
        <w:rPr>
          <w:rFonts w:cs="Times New Roman"/>
          <w:szCs w:val="24"/>
        </w:rPr>
        <w:t>tomograph</w:t>
      </w:r>
      <w:proofErr w:type="spellEnd"/>
      <w:r w:rsidRPr="00A236B4">
        <w:rPr>
          <w:rFonts w:cs="Times New Roman"/>
          <w:szCs w:val="24"/>
        </w:rPr>
        <w:t xml:space="preserve"> (Cleveland, OH, USA). The standard </w:t>
      </w:r>
      <w:proofErr w:type="spellStart"/>
      <w:r w:rsidRPr="00A236B4">
        <w:rPr>
          <w:rFonts w:cs="Times New Roman"/>
          <w:szCs w:val="24"/>
        </w:rPr>
        <w:t>adquisition</w:t>
      </w:r>
      <w:proofErr w:type="spellEnd"/>
      <w:r w:rsidRPr="00A236B4">
        <w:rPr>
          <w:rFonts w:cs="Times New Roman"/>
          <w:szCs w:val="24"/>
        </w:rPr>
        <w:t xml:space="preserve"> and quantification of the radiotracer binding potential </w:t>
      </w:r>
      <w:proofErr w:type="gramStart"/>
      <w:r w:rsidRPr="00A236B4">
        <w:rPr>
          <w:rFonts w:cs="Times New Roman"/>
          <w:szCs w:val="24"/>
        </w:rPr>
        <w:t>was conducted</w:t>
      </w:r>
      <w:proofErr w:type="gramEnd"/>
      <w:r w:rsidRPr="00A236B4">
        <w:rPr>
          <w:rFonts w:cs="Times New Roman"/>
          <w:szCs w:val="24"/>
        </w:rPr>
        <w:t xml:space="preserve"> as previously described</w:t>
      </w:r>
      <w:r w:rsidR="00867B20">
        <w:rPr>
          <w:rFonts w:cs="Times New Roman"/>
          <w:szCs w:val="24"/>
        </w:rPr>
        <w:t xml:space="preserve"> (</w:t>
      </w:r>
      <w:proofErr w:type="spellStart"/>
      <w:r w:rsidR="00A65EB4">
        <w:rPr>
          <w:rFonts w:cs="Times New Roman"/>
          <w:szCs w:val="24"/>
        </w:rPr>
        <w:t>Blesa</w:t>
      </w:r>
      <w:proofErr w:type="spellEnd"/>
      <w:r w:rsidR="00A65EB4">
        <w:rPr>
          <w:rFonts w:cs="Times New Roman"/>
          <w:szCs w:val="24"/>
        </w:rPr>
        <w:t xml:space="preserve"> et al., 2010)</w:t>
      </w:r>
      <w:r w:rsidRPr="00A236B4">
        <w:rPr>
          <w:rFonts w:cs="Times New Roman"/>
          <w:szCs w:val="24"/>
        </w:rPr>
        <w:t xml:space="preserve">. In brief, a dynamic study of 40 min </w:t>
      </w:r>
      <w:proofErr w:type="gramStart"/>
      <w:r w:rsidRPr="00A236B4">
        <w:rPr>
          <w:rFonts w:cs="Times New Roman"/>
          <w:szCs w:val="24"/>
        </w:rPr>
        <w:t>was acquired</w:t>
      </w:r>
      <w:proofErr w:type="gramEnd"/>
      <w:r w:rsidRPr="00A236B4">
        <w:rPr>
          <w:rFonts w:cs="Times New Roman"/>
          <w:szCs w:val="24"/>
        </w:rPr>
        <w:t xml:space="preserve"> after the intravenous injection of the radiotracer. </w:t>
      </w:r>
      <w:proofErr w:type="gramStart"/>
      <w:r w:rsidRPr="00A236B4">
        <w:rPr>
          <w:rFonts w:cs="Times New Roman"/>
          <w:szCs w:val="24"/>
        </w:rPr>
        <w:t xml:space="preserve">Obtained scans were analyzed by a radiotracer kinetic model using PMOD v3.2 software (PMOD Technologies, Ltd., </w:t>
      </w:r>
      <w:proofErr w:type="spellStart"/>
      <w:r w:rsidRPr="00A236B4">
        <w:rPr>
          <w:rFonts w:cs="Times New Roman"/>
          <w:szCs w:val="24"/>
        </w:rPr>
        <w:t>Adliswil</w:t>
      </w:r>
      <w:proofErr w:type="spellEnd"/>
      <w:r w:rsidRPr="00A236B4">
        <w:rPr>
          <w:rFonts w:cs="Times New Roman"/>
          <w:szCs w:val="24"/>
        </w:rPr>
        <w:t>, Switzerland) to obtain parametric images containing the information of the binding potential of VMAT2</w:t>
      </w:r>
      <w:proofErr w:type="gramEnd"/>
      <w:r w:rsidRPr="00A236B4">
        <w:rPr>
          <w:rFonts w:cs="Times New Roman"/>
          <w:szCs w:val="24"/>
        </w:rPr>
        <w:t xml:space="preserve">. Parametric images </w:t>
      </w:r>
      <w:proofErr w:type="gramStart"/>
      <w:r w:rsidRPr="00A236B4">
        <w:rPr>
          <w:rFonts w:cs="Times New Roman"/>
          <w:szCs w:val="24"/>
        </w:rPr>
        <w:t>were spatially normalized</w:t>
      </w:r>
      <w:proofErr w:type="gramEnd"/>
      <w:r w:rsidRPr="00A236B4">
        <w:rPr>
          <w:rFonts w:cs="Times New Roman"/>
          <w:szCs w:val="24"/>
        </w:rPr>
        <w:t xml:space="preserve"> into standard stereotaxic space using a specific template</w:t>
      </w:r>
      <w:r w:rsidR="00867B20">
        <w:rPr>
          <w:rFonts w:cs="Times New Roman"/>
          <w:szCs w:val="24"/>
        </w:rPr>
        <w:t xml:space="preserve"> (</w:t>
      </w:r>
      <w:proofErr w:type="spellStart"/>
      <w:r w:rsidR="00A65EB4">
        <w:rPr>
          <w:rFonts w:cs="Times New Roman"/>
          <w:szCs w:val="24"/>
        </w:rPr>
        <w:t>Collantes</w:t>
      </w:r>
      <w:proofErr w:type="spellEnd"/>
      <w:r w:rsidR="00A65EB4">
        <w:rPr>
          <w:rFonts w:cs="Times New Roman"/>
          <w:szCs w:val="24"/>
        </w:rPr>
        <w:t xml:space="preserve"> et al., 2009)</w:t>
      </w:r>
      <w:r w:rsidRPr="00A236B4">
        <w:rPr>
          <w:rFonts w:cs="Times New Roman"/>
          <w:szCs w:val="24"/>
        </w:rPr>
        <w:t xml:space="preserve">. The binding potential </w:t>
      </w:r>
      <w:proofErr w:type="gramStart"/>
      <w:r w:rsidRPr="00A236B4">
        <w:rPr>
          <w:rFonts w:cs="Times New Roman"/>
          <w:szCs w:val="24"/>
        </w:rPr>
        <w:t>was measured using a predefined map of regions of interest (ROIs) defined</w:t>
      </w:r>
      <w:proofErr w:type="gramEnd"/>
      <w:r w:rsidRPr="00A236B4">
        <w:rPr>
          <w:rFonts w:cs="Times New Roman"/>
          <w:szCs w:val="24"/>
        </w:rPr>
        <w:t xml:space="preserve"> over MRI images comprising the </w:t>
      </w:r>
      <w:r>
        <w:rPr>
          <w:rFonts w:cs="Times New Roman"/>
          <w:szCs w:val="24"/>
        </w:rPr>
        <w:t>putamen nucleus</w:t>
      </w:r>
      <w:r w:rsidRPr="00A236B4">
        <w:rPr>
          <w:rFonts w:cs="Times New Roman"/>
          <w:szCs w:val="24"/>
        </w:rPr>
        <w:t xml:space="preserve">. Changes in radiotracer binding potential </w:t>
      </w:r>
      <w:proofErr w:type="gramStart"/>
      <w:r w:rsidRPr="00A236B4">
        <w:rPr>
          <w:rFonts w:cs="Times New Roman"/>
          <w:szCs w:val="24"/>
        </w:rPr>
        <w:t>were calculated</w:t>
      </w:r>
      <w:proofErr w:type="gramEnd"/>
      <w:r w:rsidRPr="00A236B4">
        <w:rPr>
          <w:rFonts w:cs="Times New Roman"/>
          <w:szCs w:val="24"/>
        </w:rPr>
        <w:t xml:space="preserve"> for each animal at each time point.</w:t>
      </w:r>
    </w:p>
    <w:p w:rsidR="00561433" w:rsidRDefault="00561433" w:rsidP="00215350">
      <w:pPr>
        <w:spacing w:line="360" w:lineRule="auto"/>
        <w:jc w:val="both"/>
        <w:rPr>
          <w:rFonts w:cs="Times New Roman"/>
          <w:b/>
        </w:rPr>
      </w:pPr>
    </w:p>
    <w:p w:rsidR="00215350" w:rsidRDefault="00215350" w:rsidP="00215350">
      <w:pPr>
        <w:spacing w:line="360" w:lineRule="auto"/>
        <w:jc w:val="both"/>
        <w:rPr>
          <w:rFonts w:cs="Times New Roman"/>
          <w:b/>
        </w:rPr>
      </w:pPr>
      <w:r w:rsidRPr="009700A5">
        <w:rPr>
          <w:rFonts w:cs="Times New Roman"/>
          <w:b/>
        </w:rPr>
        <w:t>PROTOCOL #</w:t>
      </w:r>
      <w:r>
        <w:rPr>
          <w:rFonts w:cs="Times New Roman"/>
          <w:b/>
        </w:rPr>
        <w:t>4</w:t>
      </w:r>
      <w:r w:rsidRPr="009700A5">
        <w:rPr>
          <w:rFonts w:cs="Times New Roman"/>
          <w:b/>
        </w:rPr>
        <w:t>: NEUROIMAGE STUDIES</w:t>
      </w:r>
      <w:r>
        <w:rPr>
          <w:rFonts w:cs="Times New Roman"/>
          <w:b/>
        </w:rPr>
        <w:t xml:space="preserve"> (MRI SCANS)</w:t>
      </w:r>
    </w:p>
    <w:p w:rsidR="00215350" w:rsidRPr="003B741A" w:rsidRDefault="00215350" w:rsidP="00215350">
      <w:pPr>
        <w:spacing w:line="360" w:lineRule="auto"/>
        <w:jc w:val="both"/>
        <w:rPr>
          <w:rFonts w:cs="Times New Roman"/>
          <w:szCs w:val="24"/>
        </w:rPr>
      </w:pPr>
      <w:r w:rsidRPr="003B741A">
        <w:rPr>
          <w:rFonts w:cs="Times New Roman"/>
        </w:rPr>
        <w:lastRenderedPageBreak/>
        <w:t xml:space="preserve">Studies </w:t>
      </w:r>
      <w:proofErr w:type="gramStart"/>
      <w:r w:rsidRPr="003B741A">
        <w:rPr>
          <w:rFonts w:cs="Times New Roman"/>
        </w:rPr>
        <w:t>were conducted</w:t>
      </w:r>
      <w:proofErr w:type="gramEnd"/>
      <w:r w:rsidRPr="003B741A">
        <w:rPr>
          <w:rFonts w:cs="Times New Roman"/>
        </w:rPr>
        <w:t xml:space="preserve"> at the Department of Radiology, </w:t>
      </w:r>
      <w:proofErr w:type="spellStart"/>
      <w:r w:rsidRPr="003B741A">
        <w:rPr>
          <w:rFonts w:cs="Times New Roman"/>
        </w:rPr>
        <w:t>Clínica</w:t>
      </w:r>
      <w:proofErr w:type="spellEnd"/>
      <w:r w:rsidRPr="003B741A">
        <w:rPr>
          <w:rFonts w:cs="Times New Roman"/>
        </w:rPr>
        <w:t xml:space="preserve"> Universidad de Navarra, in keeping with available protocols</w:t>
      </w:r>
      <w:r w:rsidR="00867B20">
        <w:rPr>
          <w:rFonts w:cs="Times New Roman"/>
        </w:rPr>
        <w:t xml:space="preserve"> (</w:t>
      </w:r>
      <w:proofErr w:type="spellStart"/>
      <w:r w:rsidR="00A65EB4">
        <w:rPr>
          <w:rFonts w:cs="Times New Roman"/>
        </w:rPr>
        <w:t>Ariz</w:t>
      </w:r>
      <w:proofErr w:type="spellEnd"/>
      <w:r w:rsidR="00A65EB4">
        <w:rPr>
          <w:rFonts w:cs="Times New Roman"/>
        </w:rPr>
        <w:t xml:space="preserve"> et al., 2019; Castellanos et al., 2015)</w:t>
      </w:r>
      <w:r w:rsidRPr="003B741A">
        <w:rPr>
          <w:rFonts w:cs="Times New Roman"/>
        </w:rPr>
        <w:t xml:space="preserve">. In brief, animals were scanned on a 3T MRI scanner (Siemens, Erlangen, Germany), using a 12-channel head array and consisted of the acquisition of an anatomical dataset and the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-sensitive sequence dataset with a total duration of 30 minutes. The anatomical T1-weighted image </w:t>
      </w:r>
      <w:proofErr w:type="gramStart"/>
      <w:r w:rsidRPr="003B741A">
        <w:rPr>
          <w:rFonts w:cs="Times New Roman"/>
        </w:rPr>
        <w:t>was acquired</w:t>
      </w:r>
      <w:proofErr w:type="gramEnd"/>
      <w:r w:rsidRPr="003B741A">
        <w:rPr>
          <w:rFonts w:cs="Times New Roman"/>
        </w:rPr>
        <w:t xml:space="preserve"> with MPRAGE sequence of 5 min duration. The following parameters were employed: </w:t>
      </w:r>
      <w:proofErr w:type="gramStart"/>
      <w:r w:rsidRPr="003B741A">
        <w:rPr>
          <w:rFonts w:cs="Times New Roman"/>
        </w:rPr>
        <w:t>1</w:t>
      </w:r>
      <w:proofErr w:type="gramEnd"/>
      <w:r w:rsidRPr="003B741A">
        <w:rPr>
          <w:rFonts w:cs="Times New Roman"/>
        </w:rPr>
        <w:t xml:space="preserve"> mm-isotropic resolution, FOV = 256 x 192 mm</w:t>
      </w:r>
      <w:r w:rsidRPr="003B741A">
        <w:rPr>
          <w:rFonts w:cs="Times New Roman"/>
          <w:vertAlign w:val="superscript"/>
        </w:rPr>
        <w:t>2</w:t>
      </w:r>
      <w:r w:rsidRPr="003B741A">
        <w:rPr>
          <w:rFonts w:cs="Times New Roman"/>
        </w:rPr>
        <w:t xml:space="preserve">, matrix = 256 x 192 voxels, 160 axial slices, repetition time/echo time = 1620/3.09 </w:t>
      </w:r>
      <w:proofErr w:type="spellStart"/>
      <w:r w:rsidRPr="003B741A">
        <w:rPr>
          <w:rFonts w:cs="Times New Roman"/>
        </w:rPr>
        <w:t>ms</w:t>
      </w:r>
      <w:proofErr w:type="spellEnd"/>
      <w:r w:rsidRPr="003B741A">
        <w:rPr>
          <w:rFonts w:cs="Times New Roman"/>
        </w:rPr>
        <w:t xml:space="preserve">, inversion time = 659 </w:t>
      </w:r>
      <w:proofErr w:type="spellStart"/>
      <w:r w:rsidRPr="003B741A">
        <w:rPr>
          <w:rFonts w:cs="Times New Roman"/>
        </w:rPr>
        <w:t>ms</w:t>
      </w:r>
      <w:proofErr w:type="spellEnd"/>
      <w:r w:rsidRPr="003B741A">
        <w:rPr>
          <w:rFonts w:cs="Times New Roman"/>
        </w:rPr>
        <w:t xml:space="preserve">, flip angle = 15º. </w:t>
      </w:r>
      <w:proofErr w:type="gramStart"/>
      <w:r w:rsidRPr="003B741A">
        <w:rPr>
          <w:rFonts w:cs="Times New Roman"/>
          <w:szCs w:val="24"/>
        </w:rPr>
        <w:t xml:space="preserve">Images of the </w:t>
      </w:r>
      <w:proofErr w:type="spellStart"/>
      <w:r w:rsidRPr="003B741A">
        <w:rPr>
          <w:rFonts w:cs="Times New Roman"/>
          <w:szCs w:val="24"/>
        </w:rPr>
        <w:t>SNpc</w:t>
      </w:r>
      <w:proofErr w:type="spellEnd"/>
      <w:r w:rsidRPr="003B741A">
        <w:rPr>
          <w:rFonts w:cs="Times New Roman"/>
          <w:szCs w:val="24"/>
        </w:rPr>
        <w:t xml:space="preserve"> were obtained with an </w:t>
      </w:r>
      <w:proofErr w:type="spellStart"/>
      <w:r w:rsidRPr="003B741A">
        <w:rPr>
          <w:rFonts w:cs="Times New Roman"/>
          <w:szCs w:val="24"/>
        </w:rPr>
        <w:t>NMel</w:t>
      </w:r>
      <w:proofErr w:type="spellEnd"/>
      <w:r w:rsidRPr="003B741A">
        <w:rPr>
          <w:rFonts w:cs="Times New Roman"/>
          <w:szCs w:val="24"/>
        </w:rPr>
        <w:t xml:space="preserve">-sensitive T1-weighted fast spin-echo sequence with the following parameters: repetition time/echo time, 600/15 </w:t>
      </w:r>
      <w:proofErr w:type="spellStart"/>
      <w:r w:rsidRPr="003B741A">
        <w:rPr>
          <w:rFonts w:cs="Times New Roman"/>
          <w:szCs w:val="24"/>
        </w:rPr>
        <w:t>ms</w:t>
      </w:r>
      <w:proofErr w:type="spellEnd"/>
      <w:r w:rsidRPr="003B741A">
        <w:rPr>
          <w:rFonts w:cs="Times New Roman"/>
          <w:szCs w:val="24"/>
        </w:rPr>
        <w:t>, two-echo train length, 11 slices, 2.0 mm slice thickness, 0.2 mm gap, 512 x 408 acquisition matrix, 220 x 175 field of view (pixel size 0.43 mm</w:t>
      </w:r>
      <w:r w:rsidRPr="003B741A">
        <w:rPr>
          <w:rFonts w:cs="Times New Roman"/>
          <w:szCs w:val="24"/>
          <w:vertAlign w:val="superscript"/>
        </w:rPr>
        <w:t>2</w:t>
      </w:r>
      <w:r w:rsidRPr="003B741A">
        <w:rPr>
          <w:rFonts w:cs="Times New Roman"/>
          <w:szCs w:val="24"/>
        </w:rPr>
        <w:t>, interpolated to 0.21 mm</w:t>
      </w:r>
      <w:r w:rsidRPr="003B741A">
        <w:rPr>
          <w:rFonts w:cs="Times New Roman"/>
          <w:szCs w:val="24"/>
          <w:vertAlign w:val="superscript"/>
        </w:rPr>
        <w:t>2</w:t>
      </w:r>
      <w:r w:rsidRPr="003B741A">
        <w:rPr>
          <w:rFonts w:cs="Times New Roman"/>
          <w:szCs w:val="24"/>
        </w:rPr>
        <w:t>), bandwidth 110 Hz/pixel, four averages, and a total scan time of 12 min. MRI studies were conducted four months post-AAV deliveries in all animals and eight months post-injection of viral vectors in animals M30F87 and M309M8.</w:t>
      </w:r>
      <w:proofErr w:type="gramEnd"/>
    </w:p>
    <w:p w:rsidR="00561433" w:rsidRDefault="00561433" w:rsidP="009700A5">
      <w:pPr>
        <w:spacing w:line="360" w:lineRule="auto"/>
        <w:jc w:val="both"/>
        <w:rPr>
          <w:rFonts w:cs="Times New Roman"/>
          <w:b/>
        </w:rPr>
      </w:pPr>
    </w:p>
    <w:p w:rsidR="009700A5" w:rsidRDefault="00215350" w:rsidP="009700A5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PROTOCOL #5: NECROPSY, TISSUE PROCESSING AND DATA ANALYSIS</w:t>
      </w:r>
    </w:p>
    <w:p w:rsidR="00215350" w:rsidRPr="003B741A" w:rsidRDefault="00215350" w:rsidP="00215350">
      <w:pPr>
        <w:spacing w:line="360" w:lineRule="auto"/>
        <w:jc w:val="both"/>
        <w:rPr>
          <w:rFonts w:cs="Times New Roman"/>
        </w:rPr>
      </w:pPr>
      <w:r w:rsidRPr="003B741A">
        <w:rPr>
          <w:rFonts w:cs="Times New Roman"/>
        </w:rPr>
        <w:t xml:space="preserve">Anesthesia was firstly induced with an intramuscular injection of ketamine (10 mg/Kg), followed by a terminal overdose of sodium pentobarbital (200 mg/Kg) and perfused </w:t>
      </w:r>
      <w:proofErr w:type="spellStart"/>
      <w:r w:rsidRPr="003B741A">
        <w:rPr>
          <w:rFonts w:cs="Times New Roman"/>
        </w:rPr>
        <w:t>transcardially</w:t>
      </w:r>
      <w:proofErr w:type="spellEnd"/>
      <w:r w:rsidRPr="003B741A">
        <w:rPr>
          <w:rFonts w:cs="Times New Roman"/>
        </w:rPr>
        <w:t xml:space="preserve"> with an infusion pump. Animals M308 and M310 were sacrificed four months post-AAV deliveries, whereas animals M307 and M309 were euthanized eight months post-injection of AAVs. The </w:t>
      </w:r>
      <w:proofErr w:type="spellStart"/>
      <w:r w:rsidRPr="003B741A">
        <w:rPr>
          <w:rFonts w:cs="Times New Roman"/>
        </w:rPr>
        <w:t>perfusates</w:t>
      </w:r>
      <w:proofErr w:type="spellEnd"/>
      <w:r w:rsidRPr="003B741A">
        <w:rPr>
          <w:rFonts w:cs="Times New Roman"/>
        </w:rPr>
        <w:t xml:space="preserve"> consisted of a saline Ringer solution followed by 3,000 mL of a fixative solution made of 4% paraformaldehyde and 0.1% glutaraldehyde in 0.125 M phosphate buffer (PB) pH 7.4. Perfusion </w:t>
      </w:r>
      <w:proofErr w:type="gramStart"/>
      <w:r w:rsidRPr="003B741A">
        <w:rPr>
          <w:rFonts w:cs="Times New Roman"/>
        </w:rPr>
        <w:t>was continued</w:t>
      </w:r>
      <w:proofErr w:type="gramEnd"/>
      <w:r w:rsidRPr="003B741A">
        <w:rPr>
          <w:rFonts w:cs="Times New Roman"/>
        </w:rPr>
        <w:t xml:space="preserve"> with 1,000 mL of a </w:t>
      </w:r>
      <w:proofErr w:type="spellStart"/>
      <w:r w:rsidRPr="003B741A">
        <w:rPr>
          <w:rFonts w:cs="Times New Roman"/>
        </w:rPr>
        <w:t>cryoprotectant</w:t>
      </w:r>
      <w:proofErr w:type="spellEnd"/>
      <w:r w:rsidRPr="003B741A">
        <w:rPr>
          <w:rFonts w:cs="Times New Roman"/>
        </w:rPr>
        <w:t xml:space="preserve"> solution containing 10% </w:t>
      </w:r>
      <w:proofErr w:type="spellStart"/>
      <w:r w:rsidRPr="003B741A">
        <w:rPr>
          <w:rFonts w:cs="Times New Roman"/>
        </w:rPr>
        <w:t>glycerine</w:t>
      </w:r>
      <w:proofErr w:type="spellEnd"/>
      <w:r w:rsidRPr="003B741A">
        <w:rPr>
          <w:rFonts w:cs="Times New Roman"/>
        </w:rPr>
        <w:t xml:space="preserve"> and 1% </w:t>
      </w:r>
      <w:proofErr w:type="spellStart"/>
      <w:r w:rsidRPr="003B741A">
        <w:rPr>
          <w:rFonts w:cs="Times New Roman"/>
        </w:rPr>
        <w:t>dimethylsulphoxyde</w:t>
      </w:r>
      <w:proofErr w:type="spellEnd"/>
      <w:r w:rsidRPr="003B741A">
        <w:rPr>
          <w:rFonts w:cs="Times New Roman"/>
        </w:rPr>
        <w:t xml:space="preserve"> (DMSO) in 0.125 M PB pH 7.4. Once perfusion was completed, the skull </w:t>
      </w:r>
      <w:proofErr w:type="gramStart"/>
      <w:r w:rsidRPr="003B741A">
        <w:rPr>
          <w:rFonts w:cs="Times New Roman"/>
        </w:rPr>
        <w:t>was opened</w:t>
      </w:r>
      <w:proofErr w:type="gramEnd"/>
      <w:r w:rsidRPr="003B741A">
        <w:rPr>
          <w:rFonts w:cs="Times New Roman"/>
        </w:rPr>
        <w:t xml:space="preserve"> and the brain removed and stored for 48 h in a </w:t>
      </w:r>
      <w:proofErr w:type="spellStart"/>
      <w:r w:rsidRPr="003B741A">
        <w:rPr>
          <w:rFonts w:cs="Times New Roman"/>
        </w:rPr>
        <w:t>cryoprotectant</w:t>
      </w:r>
      <w:proofErr w:type="spellEnd"/>
      <w:r w:rsidRPr="003B741A">
        <w:rPr>
          <w:rFonts w:cs="Times New Roman"/>
        </w:rPr>
        <w:t xml:space="preserve"> solution containing 20% glycerin and 2% DMSO in 0.125 M PB pH 7.4. Next, frozen coronal sections (40 </w:t>
      </w:r>
      <w:r w:rsidRPr="00C33C19">
        <w:rPr>
          <w:rFonts w:ascii="Symbol" w:hAnsi="Symbol" w:cs="Times New Roman"/>
        </w:rPr>
        <w:t></w:t>
      </w:r>
      <w:r w:rsidRPr="003B741A">
        <w:rPr>
          <w:rFonts w:cs="Times New Roman"/>
        </w:rPr>
        <w:t xml:space="preserve">m-thick) </w:t>
      </w:r>
      <w:proofErr w:type="gramStart"/>
      <w:r w:rsidRPr="003B741A">
        <w:rPr>
          <w:rFonts w:cs="Times New Roman"/>
        </w:rPr>
        <w:t>were obtained on a sliding microtome and collected in 0.125 M PB pH 7.4 as 10 series of adjacent sections</w:t>
      </w:r>
      <w:proofErr w:type="gramEnd"/>
      <w:r w:rsidRPr="003B741A">
        <w:rPr>
          <w:rFonts w:cs="Times New Roman"/>
        </w:rPr>
        <w:t xml:space="preserve">. </w:t>
      </w:r>
      <w:proofErr w:type="gramStart"/>
      <w:r w:rsidRPr="003B741A">
        <w:rPr>
          <w:rFonts w:cs="Times New Roman"/>
        </w:rPr>
        <w:t xml:space="preserve">These series were used for (1) direct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 visualization, (2) </w:t>
      </w:r>
      <w:proofErr w:type="spellStart"/>
      <w:r w:rsidRPr="003B741A">
        <w:rPr>
          <w:rFonts w:cs="Times New Roman"/>
        </w:rPr>
        <w:t>immunoperoxidase</w:t>
      </w:r>
      <w:proofErr w:type="spellEnd"/>
      <w:r w:rsidRPr="003B741A">
        <w:rPr>
          <w:rFonts w:cs="Times New Roman"/>
        </w:rPr>
        <w:t xml:space="preserve"> detection of TH, (3) dual </w:t>
      </w:r>
      <w:proofErr w:type="spellStart"/>
      <w:r w:rsidRPr="003B741A">
        <w:rPr>
          <w:rFonts w:cs="Times New Roman"/>
        </w:rPr>
        <w:t>immunofluorescent</w:t>
      </w:r>
      <w:proofErr w:type="spellEnd"/>
      <w:r w:rsidRPr="003B741A">
        <w:rPr>
          <w:rFonts w:cs="Times New Roman"/>
        </w:rPr>
        <w:t xml:space="preserve"> detection of tyrosine hydroxylase (TH) and P62 combined with </w:t>
      </w:r>
      <w:proofErr w:type="spellStart"/>
      <w:r w:rsidRPr="003B741A">
        <w:rPr>
          <w:rFonts w:cs="Times New Roman"/>
        </w:rPr>
        <w:t>brightfield</w:t>
      </w:r>
      <w:proofErr w:type="spellEnd"/>
      <w:r w:rsidRPr="003B741A">
        <w:rPr>
          <w:rFonts w:cs="Times New Roman"/>
        </w:rPr>
        <w:t xml:space="preserve"> visualization of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, (4) triple </w:t>
      </w:r>
      <w:proofErr w:type="spellStart"/>
      <w:r w:rsidRPr="003B741A">
        <w:rPr>
          <w:rFonts w:cs="Times New Roman"/>
        </w:rPr>
        <w:t>immunofluorescent</w:t>
      </w:r>
      <w:proofErr w:type="spellEnd"/>
      <w:r w:rsidRPr="003B741A">
        <w:rPr>
          <w:rFonts w:cs="Times New Roman"/>
        </w:rPr>
        <w:t xml:space="preserve"> detection of </w:t>
      </w:r>
      <w:r w:rsidRPr="00C33C19">
        <w:rPr>
          <w:rFonts w:ascii="Symbol" w:hAnsi="Symbol" w:cs="Times New Roman"/>
        </w:rPr>
        <w:t></w:t>
      </w:r>
      <w:r w:rsidRPr="003B741A">
        <w:rPr>
          <w:rFonts w:cs="Times New Roman"/>
        </w:rPr>
        <w:t>-</w:t>
      </w:r>
      <w:proofErr w:type="spellStart"/>
      <w:r w:rsidRPr="003B741A">
        <w:rPr>
          <w:rFonts w:cs="Times New Roman"/>
        </w:rPr>
        <w:t>Syn</w:t>
      </w:r>
      <w:proofErr w:type="spellEnd"/>
      <w:r w:rsidRPr="003B741A">
        <w:rPr>
          <w:rFonts w:cs="Times New Roman"/>
        </w:rPr>
        <w:t xml:space="preserve">, TH and P62 combined with </w:t>
      </w:r>
      <w:proofErr w:type="spellStart"/>
      <w:r w:rsidRPr="003B741A">
        <w:rPr>
          <w:rFonts w:cs="Times New Roman"/>
        </w:rPr>
        <w:t>brightfield</w:t>
      </w:r>
      <w:proofErr w:type="spellEnd"/>
      <w:r w:rsidRPr="003B741A">
        <w:rPr>
          <w:rFonts w:cs="Times New Roman"/>
        </w:rPr>
        <w:t xml:space="preserve"> visualization of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, (5) dual </w:t>
      </w:r>
      <w:proofErr w:type="spellStart"/>
      <w:r w:rsidRPr="003B741A">
        <w:rPr>
          <w:rFonts w:cs="Times New Roman"/>
        </w:rPr>
        <w:t>immunofluorescent</w:t>
      </w:r>
      <w:proofErr w:type="spellEnd"/>
      <w:r w:rsidRPr="003B741A">
        <w:rPr>
          <w:rFonts w:cs="Times New Roman"/>
        </w:rPr>
        <w:t xml:space="preserve"> detection of ubiquitin and P62 combined with </w:t>
      </w:r>
      <w:proofErr w:type="spellStart"/>
      <w:r w:rsidRPr="003B741A">
        <w:rPr>
          <w:rFonts w:cs="Times New Roman"/>
        </w:rPr>
        <w:t>brightfield</w:t>
      </w:r>
      <w:proofErr w:type="spellEnd"/>
      <w:r w:rsidRPr="003B741A">
        <w:rPr>
          <w:rFonts w:cs="Times New Roman"/>
        </w:rPr>
        <w:t xml:space="preserve"> visualization of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; (6) triple </w:t>
      </w:r>
      <w:proofErr w:type="spellStart"/>
      <w:r w:rsidRPr="003B741A">
        <w:rPr>
          <w:rFonts w:cs="Times New Roman"/>
        </w:rPr>
        <w:t>immunofluorescent</w:t>
      </w:r>
      <w:proofErr w:type="spellEnd"/>
      <w:r w:rsidRPr="003B741A">
        <w:rPr>
          <w:rFonts w:cs="Times New Roman"/>
        </w:rPr>
        <w:t xml:space="preserve"> detection of P62, Iba-1 and CD68 combined </w:t>
      </w:r>
      <w:r w:rsidRPr="003B741A">
        <w:rPr>
          <w:rFonts w:cs="Times New Roman"/>
        </w:rPr>
        <w:lastRenderedPageBreak/>
        <w:t xml:space="preserve">with </w:t>
      </w:r>
      <w:proofErr w:type="spellStart"/>
      <w:r w:rsidRPr="003B741A">
        <w:rPr>
          <w:rFonts w:cs="Times New Roman"/>
        </w:rPr>
        <w:t>brightfield</w:t>
      </w:r>
      <w:proofErr w:type="spellEnd"/>
      <w:r w:rsidRPr="003B741A">
        <w:rPr>
          <w:rFonts w:cs="Times New Roman"/>
        </w:rPr>
        <w:t xml:space="preserve"> visualization of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, (7) triple </w:t>
      </w:r>
      <w:proofErr w:type="spellStart"/>
      <w:r w:rsidRPr="003B741A">
        <w:rPr>
          <w:rFonts w:cs="Times New Roman"/>
        </w:rPr>
        <w:t>immunofluorescent</w:t>
      </w:r>
      <w:proofErr w:type="spellEnd"/>
      <w:r w:rsidRPr="003B741A">
        <w:rPr>
          <w:rFonts w:cs="Times New Roman"/>
        </w:rPr>
        <w:t xml:space="preserve"> detection of </w:t>
      </w:r>
      <w:r w:rsidRPr="00C33C19">
        <w:rPr>
          <w:rFonts w:ascii="Symbol" w:hAnsi="Symbol" w:cs="Times New Roman"/>
        </w:rPr>
        <w:t></w:t>
      </w:r>
      <w:r w:rsidRPr="003B741A">
        <w:rPr>
          <w:rFonts w:cs="Times New Roman"/>
        </w:rPr>
        <w:t>-</w:t>
      </w:r>
      <w:proofErr w:type="spellStart"/>
      <w:r w:rsidRPr="003B741A">
        <w:rPr>
          <w:rFonts w:cs="Times New Roman"/>
        </w:rPr>
        <w:t>Syn</w:t>
      </w:r>
      <w:proofErr w:type="spellEnd"/>
      <w:r w:rsidRPr="003B741A">
        <w:rPr>
          <w:rFonts w:cs="Times New Roman"/>
        </w:rPr>
        <w:t xml:space="preserve"> (pre-digested with proteinase K), TH and P62 combined with </w:t>
      </w:r>
      <w:proofErr w:type="spellStart"/>
      <w:r w:rsidRPr="003B741A">
        <w:rPr>
          <w:rFonts w:cs="Times New Roman"/>
        </w:rPr>
        <w:t>brightfield</w:t>
      </w:r>
      <w:proofErr w:type="spellEnd"/>
      <w:r w:rsidRPr="003B741A">
        <w:rPr>
          <w:rFonts w:cs="Times New Roman"/>
        </w:rPr>
        <w:t xml:space="preserve"> visualization of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, (8) triple </w:t>
      </w:r>
      <w:proofErr w:type="spellStart"/>
      <w:r w:rsidRPr="003B741A">
        <w:rPr>
          <w:rFonts w:cs="Times New Roman"/>
        </w:rPr>
        <w:t>immunofluorescent</w:t>
      </w:r>
      <w:proofErr w:type="spellEnd"/>
      <w:r w:rsidRPr="003B741A">
        <w:rPr>
          <w:rFonts w:cs="Times New Roman"/>
        </w:rPr>
        <w:t xml:space="preserve"> detection of </w:t>
      </w:r>
      <w:proofErr w:type="spellStart"/>
      <w:r w:rsidRPr="003B741A">
        <w:rPr>
          <w:rFonts w:cs="Times New Roman"/>
        </w:rPr>
        <w:t>NeuN</w:t>
      </w:r>
      <w:proofErr w:type="spellEnd"/>
      <w:r w:rsidRPr="003B741A">
        <w:rPr>
          <w:rFonts w:cs="Times New Roman"/>
        </w:rPr>
        <w:t xml:space="preserve">, TH and P62 and (9) multiple </w:t>
      </w:r>
      <w:proofErr w:type="spellStart"/>
      <w:r w:rsidRPr="003B741A">
        <w:rPr>
          <w:rFonts w:cs="Times New Roman"/>
        </w:rPr>
        <w:t>immunofluorescent</w:t>
      </w:r>
      <w:proofErr w:type="spellEnd"/>
      <w:r w:rsidRPr="003B741A">
        <w:rPr>
          <w:rFonts w:cs="Times New Roman"/>
        </w:rPr>
        <w:t xml:space="preserve"> detection of DAPI, </w:t>
      </w:r>
      <w:r w:rsidRPr="00C33C19">
        <w:rPr>
          <w:rFonts w:ascii="Symbol" w:hAnsi="Symbol" w:cs="Times New Roman"/>
        </w:rPr>
        <w:t></w:t>
      </w:r>
      <w:r>
        <w:rPr>
          <w:rFonts w:cs="Times New Roman"/>
        </w:rPr>
        <w:t>-</w:t>
      </w:r>
      <w:proofErr w:type="spellStart"/>
      <w:r>
        <w:rPr>
          <w:rFonts w:cs="Times New Roman"/>
        </w:rPr>
        <w:t>Syn</w:t>
      </w:r>
      <w:proofErr w:type="spellEnd"/>
      <w:r>
        <w:rPr>
          <w:rFonts w:cs="Times New Roman"/>
        </w:rPr>
        <w:t>, P62 and TH.</w:t>
      </w:r>
      <w:proofErr w:type="gramEnd"/>
    </w:p>
    <w:p w:rsidR="00215350" w:rsidRDefault="00215350" w:rsidP="00215350">
      <w:pPr>
        <w:spacing w:line="360" w:lineRule="auto"/>
        <w:jc w:val="both"/>
        <w:rPr>
          <w:rFonts w:cs="Times New Roman"/>
        </w:rPr>
      </w:pPr>
      <w:r w:rsidRPr="003B741A">
        <w:rPr>
          <w:rFonts w:cs="Times New Roman"/>
        </w:rPr>
        <w:t>A complete list of the used primary and bridge antisera (secondary antisera; either biotinylated or Alexa®-conjugated), together with incubation concentrations, incubation times and co</w:t>
      </w:r>
      <w:r>
        <w:rPr>
          <w:rFonts w:cs="Times New Roman"/>
        </w:rPr>
        <w:t>mmercial sources is provided below</w:t>
      </w:r>
      <w:r w:rsidRPr="003B741A">
        <w:rPr>
          <w:rFonts w:cs="Times New Roman"/>
        </w:rPr>
        <w:t>.</w:t>
      </w:r>
    </w:p>
    <w:p w:rsidR="00215350" w:rsidRPr="00215350" w:rsidRDefault="00215350" w:rsidP="002153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reagents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993"/>
        <w:gridCol w:w="1700"/>
        <w:gridCol w:w="1134"/>
        <w:gridCol w:w="1554"/>
      </w:tblGrid>
      <w:tr w:rsidR="00215350" w:rsidRPr="00E7098F" w:rsidTr="00505F90"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b/>
                <w:sz w:val="16"/>
                <w:szCs w:val="16"/>
              </w:rPr>
              <w:t>ITEM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b/>
                <w:sz w:val="16"/>
                <w:szCs w:val="16"/>
              </w:rPr>
              <w:t>DILUTION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b/>
                <w:sz w:val="16"/>
                <w:szCs w:val="16"/>
              </w:rPr>
              <w:t>INCUBATION TIME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b/>
                <w:sz w:val="16"/>
                <w:szCs w:val="16"/>
              </w:rPr>
              <w:t>SOURCE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b/>
                <w:sz w:val="16"/>
                <w:szCs w:val="16"/>
              </w:rPr>
              <w:t>IDENTIFIER</w:t>
            </w:r>
          </w:p>
        </w:tc>
      </w:tr>
      <w:tr w:rsidR="00215350" w:rsidRPr="00E7098F" w:rsidTr="00505F90"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b/>
                <w:sz w:val="16"/>
                <w:szCs w:val="16"/>
              </w:rPr>
              <w:t>Antibodies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ind w:right="171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</w:p>
        </w:tc>
      </w:tr>
      <w:tr w:rsidR="00215350" w:rsidRPr="00E7098F" w:rsidTr="00505F90"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 xml:space="preserve">Goat anti-Tyrosine </w:t>
            </w:r>
            <w:proofErr w:type="spellStart"/>
            <w:r>
              <w:rPr>
                <w:rFonts w:ascii="Gill Sans MT" w:eastAsia="Arial" w:hAnsi="Gill Sans MT" w:cs="Arial"/>
                <w:sz w:val="16"/>
                <w:szCs w:val="16"/>
              </w:rPr>
              <w:t>Hydrox</w:t>
            </w:r>
            <w:proofErr w:type="spellEnd"/>
            <w:r>
              <w:rPr>
                <w:rFonts w:ascii="Gill Sans MT" w:eastAsia="Arial" w:hAnsi="Gill Sans MT" w:cs="Arial"/>
                <w:sz w:val="16"/>
                <w:szCs w:val="16"/>
              </w:rPr>
              <w:t>.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 xml:space="preserve"> (polyclonal)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1:500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Overnight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 xml:space="preserve">My </w:t>
            </w:r>
            <w:proofErr w:type="spellStart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Biosource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MBS421729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Mouse anti-</w:t>
            </w:r>
            <w:r w:rsidRPr="00E7098F">
              <w:rPr>
                <w:rFonts w:ascii="Symbol" w:eastAsia="Arial" w:hAnsi="Symbol" w:cs="Arial"/>
                <w:sz w:val="16"/>
                <w:szCs w:val="16"/>
              </w:rPr>
              <w:t>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-synuclein (monoclonal)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Overnight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Leica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NCL-L-ASYN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Mouse anti-P-</w:t>
            </w:r>
            <w:r w:rsidRPr="00E7098F">
              <w:rPr>
                <w:rFonts w:ascii="Symbol" w:eastAsia="Arial" w:hAnsi="Symbol" w:cs="Arial"/>
                <w:sz w:val="16"/>
                <w:szCs w:val="16"/>
              </w:rPr>
              <w:t>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>-</w:t>
            </w:r>
            <w:proofErr w:type="spellStart"/>
            <w:r>
              <w:rPr>
                <w:rFonts w:ascii="Gill Sans MT" w:eastAsia="Arial" w:hAnsi="Gill Sans MT" w:cs="Arial"/>
                <w:sz w:val="16"/>
                <w:szCs w:val="16"/>
              </w:rPr>
              <w:t>syn</w:t>
            </w:r>
            <w:proofErr w:type="spellEnd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 xml:space="preserve"> (monoclonal)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1:1000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Overnight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Fujifilm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 xml:space="preserve"> Wako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015-25191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Guinea Pig anti-P62 (polyclonal)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1:1000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Overnight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PROGEN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GP62-C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Mouse anti-Ubiquitin (monoclonal)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Overnight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proofErr w:type="spellStart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Abcam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ab7254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Rabbit anti-</w:t>
            </w:r>
            <w:proofErr w:type="spellStart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NeuN</w:t>
            </w:r>
            <w:proofErr w:type="spellEnd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 xml:space="preserve"> (monoclonal)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1:1000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Overnight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proofErr w:type="spellStart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Abcam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ab177487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Rabbit anti-</w:t>
            </w:r>
            <w:proofErr w:type="spellStart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Iba</w:t>
            </w:r>
            <w:proofErr w:type="spellEnd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 xml:space="preserve"> 1 (polyclonal)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Overnight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Fujifilm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 xml:space="preserve"> Wako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019-19741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Mouse anti-CD68 (monoclonal)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Overnight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proofErr w:type="spellStart"/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Dako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M0814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Donkey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 xml:space="preserve"> anti-Goat (Biotin-SP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120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Jackson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705-065-147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Donke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>y anti-Goat (Alexa488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120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Invitrogen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A-11055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Donke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>y anti-Goat (Alexa350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120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Invitrogen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A-21081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Donke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>y anti-Goat (Alexa633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120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Invitrogen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A-21082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Donkey anti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>-Guinea Pig (Alexa594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120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Jackson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706-585-148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Donkey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 xml:space="preserve"> anti-Mouse (Alexa488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120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Invitrogen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A-21202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Donkey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 xml:space="preserve"> anti-Mouse (Alexa546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120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Invitrogen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A-10036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 xml:space="preserve">Donkey </w:t>
            </w:r>
            <w:r>
              <w:rPr>
                <w:rFonts w:ascii="Gill Sans MT" w:eastAsia="Arial" w:hAnsi="Gill Sans MT" w:cs="Arial"/>
                <w:sz w:val="16"/>
                <w:szCs w:val="16"/>
              </w:rPr>
              <w:t>anti-Rabbit (Alexa488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120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Invitrogen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A-21206</w:t>
            </w:r>
          </w:p>
        </w:tc>
      </w:tr>
      <w:tr w:rsidR="00215350" w:rsidRPr="00E7098F" w:rsidTr="00505F90"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b/>
                <w:sz w:val="16"/>
                <w:szCs w:val="16"/>
              </w:rPr>
              <w:t>Commercial assays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b/>
                <w:sz w:val="16"/>
                <w:szCs w:val="16"/>
              </w:rPr>
            </w:pPr>
          </w:p>
        </w:tc>
      </w:tr>
      <w:tr w:rsidR="00215350" w:rsidRPr="00E7098F" w:rsidTr="00505F90"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ABC kit standard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60 min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Vector Lab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s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PK4000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Neutral Red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0.40%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Sigma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72210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V-VIP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>
              <w:rPr>
                <w:rFonts w:ascii="Gill Sans MT" w:eastAsia="Arial" w:hAnsi="Gill Sans MT" w:cs="Arial"/>
                <w:sz w:val="16"/>
                <w:szCs w:val="16"/>
              </w:rPr>
              <w:t>Vector Lab</w:t>
            </w: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SK-4600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Proteinase 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 µg/ml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10 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Invitrogen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25530049</w:t>
            </w:r>
          </w:p>
        </w:tc>
      </w:tr>
      <w:tr w:rsidR="00215350" w:rsidRPr="00E7098F" w:rsidTr="00505F90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DAPI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1:50000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171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5 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10"/>
              <w:jc w:val="center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Invitrogen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5350" w:rsidRPr="00E7098F" w:rsidRDefault="00215350" w:rsidP="00505F90">
            <w:pPr>
              <w:spacing w:line="240" w:lineRule="auto"/>
              <w:ind w:right="-109"/>
              <w:rPr>
                <w:rFonts w:ascii="Gill Sans MT" w:eastAsia="Arial" w:hAnsi="Gill Sans MT" w:cs="Arial"/>
                <w:sz w:val="16"/>
                <w:szCs w:val="16"/>
              </w:rPr>
            </w:pPr>
            <w:r w:rsidRPr="00E7098F">
              <w:rPr>
                <w:rFonts w:ascii="Gill Sans MT" w:eastAsia="Arial" w:hAnsi="Gill Sans MT" w:cs="Arial"/>
                <w:sz w:val="16"/>
                <w:szCs w:val="16"/>
              </w:rPr>
              <w:t>Cat# D1306</w:t>
            </w:r>
          </w:p>
        </w:tc>
      </w:tr>
    </w:tbl>
    <w:p w:rsidR="00215350" w:rsidRDefault="00215350" w:rsidP="00215350">
      <w:pPr>
        <w:spacing w:after="0"/>
        <w:rPr>
          <w:rFonts w:ascii="Gill Sans MT" w:hAnsi="Gill Sans MT"/>
          <w:sz w:val="24"/>
          <w:szCs w:val="24"/>
        </w:rPr>
      </w:pPr>
    </w:p>
    <w:p w:rsidR="00561433" w:rsidRDefault="00561433" w:rsidP="00AC1BE8">
      <w:pPr>
        <w:spacing w:line="360" w:lineRule="auto"/>
        <w:jc w:val="both"/>
        <w:rPr>
          <w:rFonts w:cs="Times New Roman"/>
          <w:b/>
        </w:rPr>
      </w:pPr>
    </w:p>
    <w:p w:rsidR="00684332" w:rsidRDefault="00684332" w:rsidP="00AC1BE8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PROTOCOL #</w:t>
      </w:r>
      <w:r w:rsidR="00AC1BE8">
        <w:rPr>
          <w:rFonts w:cs="Times New Roman"/>
          <w:b/>
        </w:rPr>
        <w:t>7</w:t>
      </w:r>
      <w:r>
        <w:rPr>
          <w:rFonts w:cs="Times New Roman"/>
          <w:b/>
        </w:rPr>
        <w:t xml:space="preserve">: </w:t>
      </w:r>
      <w:r w:rsidR="00AC1BE8">
        <w:rPr>
          <w:rFonts w:cs="Times New Roman"/>
          <w:b/>
        </w:rPr>
        <w:t xml:space="preserve">QUANTIFICATION OF PIGMENTED </w:t>
      </w:r>
      <w:proofErr w:type="spellStart"/>
      <w:r w:rsidR="00AC1BE8">
        <w:rPr>
          <w:rFonts w:cs="Times New Roman"/>
          <w:b/>
        </w:rPr>
        <w:t>SNpc</w:t>
      </w:r>
      <w:proofErr w:type="spellEnd"/>
      <w:r w:rsidR="00AC1BE8">
        <w:rPr>
          <w:rFonts w:cs="Times New Roman"/>
          <w:b/>
        </w:rPr>
        <w:t xml:space="preserve"> NEURONS</w:t>
      </w:r>
    </w:p>
    <w:p w:rsidR="00AC1BE8" w:rsidRDefault="00AC1BE8" w:rsidP="00AC1BE8">
      <w:pPr>
        <w:spacing w:line="360" w:lineRule="auto"/>
        <w:jc w:val="both"/>
        <w:rPr>
          <w:rFonts w:cs="Times New Roman"/>
        </w:rPr>
      </w:pPr>
      <w:r w:rsidRPr="003B741A">
        <w:rPr>
          <w:rFonts w:cs="Times New Roman"/>
        </w:rPr>
        <w:lastRenderedPageBreak/>
        <w:t>Every tenth section was counterstained with neutral red (NR) and used for estimating the number of transduced neurons with AAV-</w:t>
      </w:r>
      <w:proofErr w:type="spellStart"/>
      <w:r w:rsidRPr="003B741A">
        <w:rPr>
          <w:rFonts w:cs="Times New Roman"/>
        </w:rPr>
        <w:t>hTyr</w:t>
      </w:r>
      <w:proofErr w:type="spellEnd"/>
      <w:r w:rsidRPr="003B741A">
        <w:rPr>
          <w:rFonts w:cs="Times New Roman"/>
        </w:rPr>
        <w:t xml:space="preserve"> in the left </w:t>
      </w:r>
      <w:proofErr w:type="spellStart"/>
      <w:r w:rsidRPr="003B741A">
        <w:rPr>
          <w:rFonts w:cs="Times New Roman"/>
        </w:rPr>
        <w:t>SNpc</w:t>
      </w:r>
      <w:proofErr w:type="spellEnd"/>
      <w:r w:rsidRPr="003B741A">
        <w:rPr>
          <w:rFonts w:cs="Times New Roman"/>
        </w:rPr>
        <w:t xml:space="preserve">. For this purpose, a deep-learning dedicated bi-layer algorithm was prepared with </w:t>
      </w:r>
      <w:proofErr w:type="spellStart"/>
      <w:r w:rsidRPr="003B741A">
        <w:rPr>
          <w:rFonts w:cs="Times New Roman"/>
        </w:rPr>
        <w:t>Aiforia</w:t>
      </w:r>
      <w:proofErr w:type="spellEnd"/>
      <w:r w:rsidRPr="003B741A">
        <w:rPr>
          <w:rFonts w:cs="Times New Roman"/>
        </w:rPr>
        <w:t>® (</w:t>
      </w:r>
      <w:hyperlink r:id="rId6" w:history="1">
        <w:r w:rsidRPr="003B741A">
          <w:rPr>
            <w:rStyle w:val="Hipervnculo"/>
          </w:rPr>
          <w:t>www.aiforia.com</w:t>
        </w:r>
      </w:hyperlink>
      <w:r w:rsidRPr="003B741A">
        <w:rPr>
          <w:rFonts w:cs="Times New Roman"/>
        </w:rPr>
        <w:t xml:space="preserve">), validated and further released (resulting in an error of 1.65% for quantifying either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>+</w:t>
      </w:r>
      <w:r w:rsidRPr="003B741A">
        <w:rPr>
          <w:rFonts w:cs="Times New Roman"/>
          <w:vertAlign w:val="superscript"/>
        </w:rPr>
        <w:t xml:space="preserve"> </w:t>
      </w:r>
      <w:r w:rsidRPr="003B741A">
        <w:rPr>
          <w:rFonts w:cs="Times New Roman"/>
        </w:rPr>
        <w:t xml:space="preserve">/ NR+ or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>-</w:t>
      </w:r>
      <w:r w:rsidRPr="003B741A">
        <w:rPr>
          <w:rFonts w:cs="Times New Roman"/>
          <w:vertAlign w:val="superscript"/>
        </w:rPr>
        <w:t xml:space="preserve"> </w:t>
      </w:r>
      <w:r w:rsidRPr="003B741A">
        <w:rPr>
          <w:rFonts w:cs="Times New Roman"/>
        </w:rPr>
        <w:t xml:space="preserve">/ NR+ neurons). Ten </w:t>
      </w:r>
      <w:proofErr w:type="gramStart"/>
      <w:r w:rsidRPr="003B741A">
        <w:rPr>
          <w:rFonts w:cs="Times New Roman"/>
        </w:rPr>
        <w:t>equally-spaced</w:t>
      </w:r>
      <w:proofErr w:type="gramEnd"/>
      <w:r w:rsidRPr="003B741A">
        <w:rPr>
          <w:rFonts w:cs="Times New Roman"/>
        </w:rPr>
        <w:t xml:space="preserve"> coronal sections covering the whole </w:t>
      </w:r>
      <w:proofErr w:type="spellStart"/>
      <w:r w:rsidRPr="003B741A">
        <w:rPr>
          <w:rFonts w:cs="Times New Roman"/>
        </w:rPr>
        <w:t>rostrocaudal</w:t>
      </w:r>
      <w:proofErr w:type="spellEnd"/>
      <w:r w:rsidRPr="003B741A">
        <w:rPr>
          <w:rFonts w:cs="Times New Roman"/>
        </w:rPr>
        <w:t xml:space="preserve"> extent of the </w:t>
      </w:r>
      <w:proofErr w:type="spellStart"/>
      <w:r w:rsidRPr="003B741A">
        <w:rPr>
          <w:rFonts w:cs="Times New Roman"/>
        </w:rPr>
        <w:t>SNpc</w:t>
      </w:r>
      <w:proofErr w:type="spellEnd"/>
      <w:r w:rsidRPr="003B741A">
        <w:rPr>
          <w:rFonts w:cs="Times New Roman"/>
        </w:rPr>
        <w:t xml:space="preserve"> were sampled per animal. Sections were counterstained with </w:t>
      </w:r>
      <w:proofErr w:type="gramStart"/>
      <w:r w:rsidRPr="003B741A">
        <w:rPr>
          <w:rFonts w:cs="Times New Roman"/>
        </w:rPr>
        <w:t xml:space="preserve">NR and scanned at 20x in an </w:t>
      </w:r>
      <w:proofErr w:type="spellStart"/>
      <w:r w:rsidRPr="003B741A">
        <w:rPr>
          <w:rFonts w:cs="Times New Roman"/>
        </w:rPr>
        <w:t>Aperio</w:t>
      </w:r>
      <w:proofErr w:type="spellEnd"/>
      <w:r w:rsidRPr="003B741A">
        <w:rPr>
          <w:rFonts w:cs="Times New Roman"/>
        </w:rPr>
        <w:t xml:space="preserve"> CS2 scanner (Leica, </w:t>
      </w:r>
      <w:proofErr w:type="spellStart"/>
      <w:r w:rsidRPr="003B741A">
        <w:rPr>
          <w:rFonts w:cs="Times New Roman"/>
        </w:rPr>
        <w:t>Wetzlar</w:t>
      </w:r>
      <w:proofErr w:type="spellEnd"/>
      <w:r w:rsidRPr="003B741A">
        <w:rPr>
          <w:rFonts w:cs="Times New Roman"/>
        </w:rPr>
        <w:t>, Germany)</w:t>
      </w:r>
      <w:proofErr w:type="gramEnd"/>
      <w:r w:rsidRPr="003B741A">
        <w:rPr>
          <w:rFonts w:cs="Times New Roman"/>
        </w:rPr>
        <w:t xml:space="preserve"> and uploaded to </w:t>
      </w:r>
      <w:proofErr w:type="spellStart"/>
      <w:r w:rsidRPr="003B741A">
        <w:rPr>
          <w:rFonts w:cs="Times New Roman"/>
        </w:rPr>
        <w:t>Aiforia</w:t>
      </w:r>
      <w:proofErr w:type="spellEnd"/>
      <w:r w:rsidRPr="003B741A">
        <w:rPr>
          <w:rFonts w:cs="Times New Roman"/>
        </w:rPr>
        <w:t xml:space="preserve"> cloud. The boundaries of </w:t>
      </w:r>
      <w:proofErr w:type="spellStart"/>
      <w:r w:rsidRPr="003B741A">
        <w:rPr>
          <w:rFonts w:cs="Times New Roman"/>
        </w:rPr>
        <w:t>SNpc</w:t>
      </w:r>
      <w:proofErr w:type="spellEnd"/>
      <w:r w:rsidRPr="003B741A">
        <w:rPr>
          <w:rFonts w:cs="Times New Roman"/>
        </w:rPr>
        <w:t xml:space="preserve"> </w:t>
      </w:r>
      <w:proofErr w:type="gramStart"/>
      <w:r w:rsidRPr="003B741A">
        <w:rPr>
          <w:rFonts w:cs="Times New Roman"/>
        </w:rPr>
        <w:t>were outlined</w:t>
      </w:r>
      <w:proofErr w:type="gramEnd"/>
      <w:r w:rsidRPr="003B741A">
        <w:rPr>
          <w:rFonts w:cs="Times New Roman"/>
        </w:rPr>
        <w:t xml:space="preserve"> at low magnification (excluding neighboring areas such as the ventral tegmental area and the </w:t>
      </w:r>
      <w:proofErr w:type="spellStart"/>
      <w:r w:rsidRPr="003B741A">
        <w:rPr>
          <w:rFonts w:cs="Times New Roman"/>
        </w:rPr>
        <w:t>retrorubral</w:t>
      </w:r>
      <w:proofErr w:type="spellEnd"/>
      <w:r w:rsidRPr="003B741A">
        <w:rPr>
          <w:rFonts w:cs="Times New Roman"/>
        </w:rPr>
        <w:t xml:space="preserve"> field). The algorithm </w:t>
      </w:r>
      <w:proofErr w:type="gramStart"/>
      <w:r w:rsidRPr="003B741A">
        <w:rPr>
          <w:rFonts w:cs="Times New Roman"/>
        </w:rPr>
        <w:t>was then used</w:t>
      </w:r>
      <w:proofErr w:type="gramEnd"/>
      <w:r w:rsidRPr="003B741A">
        <w:rPr>
          <w:rFonts w:cs="Times New Roman"/>
        </w:rPr>
        <w:t xml:space="preserve"> as a template quantifying the desired neuronal populations. Representative images illustrating the accuracy of the conducted pr</w:t>
      </w:r>
      <w:r>
        <w:rPr>
          <w:rFonts w:cs="Times New Roman"/>
        </w:rPr>
        <w:t xml:space="preserve">ocedure </w:t>
      </w:r>
      <w:proofErr w:type="gramStart"/>
      <w:r>
        <w:rPr>
          <w:rFonts w:cs="Times New Roman"/>
        </w:rPr>
        <w:t>are provided</w:t>
      </w:r>
      <w:proofErr w:type="gramEnd"/>
      <w:r>
        <w:rPr>
          <w:rFonts w:cs="Times New Roman"/>
        </w:rPr>
        <w:t xml:space="preserve"> in Figure 3</w:t>
      </w:r>
      <w:r w:rsidRPr="003B741A">
        <w:rPr>
          <w:rFonts w:cs="Times New Roman"/>
        </w:rPr>
        <w:t>C1.</w:t>
      </w:r>
    </w:p>
    <w:p w:rsidR="00561433" w:rsidRDefault="00561433" w:rsidP="00902D10">
      <w:pPr>
        <w:spacing w:line="360" w:lineRule="auto"/>
        <w:jc w:val="both"/>
        <w:rPr>
          <w:rFonts w:cs="Times New Roman"/>
          <w:b/>
        </w:rPr>
      </w:pPr>
    </w:p>
    <w:p w:rsidR="00902D10" w:rsidRDefault="00902D10" w:rsidP="00902D10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PROTOCOL #8: QUANTIFICATION OF </w:t>
      </w:r>
      <w:proofErr w:type="spellStart"/>
      <w:r>
        <w:rPr>
          <w:rFonts w:cs="Times New Roman"/>
          <w:b/>
        </w:rPr>
        <w:t>NMel</w:t>
      </w:r>
      <w:proofErr w:type="spellEnd"/>
      <w:r>
        <w:rPr>
          <w:rFonts w:cs="Times New Roman"/>
          <w:b/>
        </w:rPr>
        <w:t xml:space="preserve"> INTRACELLULAR LEVELS</w:t>
      </w:r>
    </w:p>
    <w:p w:rsidR="00902D10" w:rsidRDefault="00902D10" w:rsidP="00902D10">
      <w:pPr>
        <w:spacing w:line="360" w:lineRule="auto"/>
        <w:jc w:val="both"/>
        <w:rPr>
          <w:rFonts w:cs="Times New Roman"/>
        </w:rPr>
      </w:pPr>
      <w:r w:rsidRPr="003B741A">
        <w:rPr>
          <w:rFonts w:cs="Times New Roman"/>
        </w:rPr>
        <w:t xml:space="preserve">Quantification of the intracellular density of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 was achieved by measuring optical densitometry at the single-cell level with Fiji </w:t>
      </w:r>
      <w:proofErr w:type="spellStart"/>
      <w:r w:rsidRPr="003B741A">
        <w:rPr>
          <w:rFonts w:cs="Times New Roman"/>
        </w:rPr>
        <w:t>ImageJ</w:t>
      </w:r>
      <w:proofErr w:type="spellEnd"/>
      <w:r w:rsidRPr="003B741A">
        <w:rPr>
          <w:rFonts w:cs="Times New Roman"/>
        </w:rPr>
        <w:t xml:space="preserve"> software (NIH, USA) and converted to a logarithmic scale according to available protocol</w:t>
      </w:r>
      <w:r w:rsidR="00867B20">
        <w:rPr>
          <w:rFonts w:cs="Times New Roman"/>
        </w:rPr>
        <w:t xml:space="preserve"> (</w:t>
      </w:r>
      <w:proofErr w:type="spellStart"/>
      <w:r w:rsidR="00A65EB4">
        <w:rPr>
          <w:rFonts w:cs="Times New Roman"/>
        </w:rPr>
        <w:t>Ruifrok</w:t>
      </w:r>
      <w:proofErr w:type="spellEnd"/>
      <w:r w:rsidR="00A65EB4">
        <w:rPr>
          <w:rFonts w:cs="Times New Roman"/>
        </w:rPr>
        <w:t xml:space="preserve"> et al., 2001)</w:t>
      </w:r>
      <w:bookmarkStart w:id="0" w:name="_GoBack"/>
      <w:bookmarkEnd w:id="0"/>
      <w:r w:rsidRPr="003B741A">
        <w:rPr>
          <w:rFonts w:cs="Times New Roman"/>
        </w:rPr>
        <w:t xml:space="preserve">. Scanned images comprising the entire </w:t>
      </w:r>
      <w:proofErr w:type="spellStart"/>
      <w:r w:rsidRPr="003B741A">
        <w:rPr>
          <w:rFonts w:cs="Times New Roman"/>
        </w:rPr>
        <w:t>rostrocaudal</w:t>
      </w:r>
      <w:proofErr w:type="spellEnd"/>
      <w:r w:rsidRPr="003B741A">
        <w:rPr>
          <w:rFonts w:cs="Times New Roman"/>
        </w:rPr>
        <w:t xml:space="preserve"> extent of the </w:t>
      </w:r>
      <w:proofErr w:type="spellStart"/>
      <w:r w:rsidRPr="003B741A">
        <w:rPr>
          <w:rFonts w:cs="Times New Roman"/>
        </w:rPr>
        <w:t>SNpc</w:t>
      </w:r>
      <w:proofErr w:type="spellEnd"/>
      <w:r w:rsidRPr="003B741A">
        <w:rPr>
          <w:rFonts w:cs="Times New Roman"/>
        </w:rPr>
        <w:t xml:space="preserve"> </w:t>
      </w:r>
      <w:proofErr w:type="gramStart"/>
      <w:r w:rsidRPr="003B741A">
        <w:rPr>
          <w:rFonts w:cs="Times New Roman"/>
        </w:rPr>
        <w:t>were inspected</w:t>
      </w:r>
      <w:proofErr w:type="gramEnd"/>
      <w:r w:rsidRPr="003B741A">
        <w:rPr>
          <w:rFonts w:cs="Times New Roman"/>
        </w:rPr>
        <w:t xml:space="preserve"> at a magnification of 80x. Analyses </w:t>
      </w:r>
      <w:proofErr w:type="gramStart"/>
      <w:r w:rsidRPr="003B741A">
        <w:rPr>
          <w:rFonts w:cs="Times New Roman"/>
        </w:rPr>
        <w:t>were conducted</w:t>
      </w:r>
      <w:proofErr w:type="gramEnd"/>
      <w:r w:rsidRPr="003B741A">
        <w:rPr>
          <w:rFonts w:cs="Times New Roman"/>
        </w:rPr>
        <w:t xml:space="preserve"> in 2,202 neurons for animal M307F8, 2,498 neurons in animal M308F4, 1,967 neurons in animal M309M8 and in 2,537 neurons for animal M310M4.</w:t>
      </w:r>
    </w:p>
    <w:p w:rsidR="00561433" w:rsidRDefault="00561433" w:rsidP="00902D10">
      <w:pPr>
        <w:spacing w:line="360" w:lineRule="auto"/>
        <w:jc w:val="both"/>
        <w:rPr>
          <w:rFonts w:cs="Times New Roman"/>
          <w:b/>
        </w:rPr>
      </w:pPr>
    </w:p>
    <w:p w:rsidR="00902D10" w:rsidRPr="00902D10" w:rsidRDefault="00902D10" w:rsidP="00902D10">
      <w:pPr>
        <w:spacing w:line="360" w:lineRule="auto"/>
        <w:jc w:val="both"/>
        <w:rPr>
          <w:rFonts w:cs="Times New Roman"/>
          <w:b/>
        </w:rPr>
      </w:pPr>
      <w:r w:rsidRPr="00902D10">
        <w:rPr>
          <w:rFonts w:cs="Times New Roman"/>
          <w:b/>
        </w:rPr>
        <w:t>PROTOCOL #9: ASSESSMENT OF NIGROSTRIATAL DEGENERATION</w:t>
      </w:r>
    </w:p>
    <w:p w:rsidR="00902D10" w:rsidRPr="003B741A" w:rsidRDefault="00902D10" w:rsidP="00902D10">
      <w:pPr>
        <w:spacing w:line="360" w:lineRule="auto"/>
        <w:jc w:val="both"/>
        <w:rPr>
          <w:rFonts w:cs="Times New Roman"/>
          <w:szCs w:val="24"/>
        </w:rPr>
      </w:pPr>
      <w:r w:rsidRPr="003B741A">
        <w:rPr>
          <w:rFonts w:cs="Times New Roman"/>
          <w:szCs w:val="24"/>
        </w:rPr>
        <w:t xml:space="preserve">The degree of </w:t>
      </w:r>
      <w:proofErr w:type="spellStart"/>
      <w:r w:rsidRPr="003B741A">
        <w:rPr>
          <w:rFonts w:cs="Times New Roman"/>
          <w:szCs w:val="24"/>
        </w:rPr>
        <w:t>nigrostriatal</w:t>
      </w:r>
      <w:proofErr w:type="spellEnd"/>
      <w:r w:rsidRPr="003B741A">
        <w:rPr>
          <w:rFonts w:cs="Times New Roman"/>
          <w:szCs w:val="24"/>
        </w:rPr>
        <w:t xml:space="preserve"> lesion resulting from </w:t>
      </w:r>
      <w:proofErr w:type="spellStart"/>
      <w:r w:rsidRPr="003B741A">
        <w:rPr>
          <w:rFonts w:cs="Times New Roman"/>
          <w:szCs w:val="24"/>
        </w:rPr>
        <w:t>NMel</w:t>
      </w:r>
      <w:proofErr w:type="spellEnd"/>
      <w:r w:rsidRPr="003B741A">
        <w:rPr>
          <w:rFonts w:cs="Times New Roman"/>
          <w:szCs w:val="24"/>
        </w:rPr>
        <w:t xml:space="preserve"> accumulation was measured both at origin and destination (e.g. at the level of the </w:t>
      </w:r>
      <w:proofErr w:type="spellStart"/>
      <w:r w:rsidRPr="003B741A">
        <w:rPr>
          <w:rFonts w:cs="Times New Roman"/>
          <w:szCs w:val="24"/>
        </w:rPr>
        <w:t>SNpc</w:t>
      </w:r>
      <w:proofErr w:type="spellEnd"/>
      <w:r w:rsidRPr="003B741A">
        <w:rPr>
          <w:rFonts w:cs="Times New Roman"/>
          <w:szCs w:val="24"/>
        </w:rPr>
        <w:t xml:space="preserve"> and striatum, respectively). At the level of the </w:t>
      </w:r>
      <w:proofErr w:type="spellStart"/>
      <w:r w:rsidRPr="003B741A">
        <w:rPr>
          <w:rFonts w:cs="Times New Roman"/>
          <w:szCs w:val="24"/>
        </w:rPr>
        <w:t>SNpc</w:t>
      </w:r>
      <w:proofErr w:type="spellEnd"/>
      <w:r w:rsidRPr="003B741A">
        <w:rPr>
          <w:rFonts w:cs="Times New Roman"/>
          <w:szCs w:val="24"/>
        </w:rPr>
        <w:t xml:space="preserve">, every tenth section </w:t>
      </w:r>
      <w:proofErr w:type="gramStart"/>
      <w:r w:rsidRPr="003B741A">
        <w:rPr>
          <w:rFonts w:cs="Times New Roman"/>
          <w:szCs w:val="24"/>
        </w:rPr>
        <w:t xml:space="preserve">was stained for the </w:t>
      </w:r>
      <w:proofErr w:type="spellStart"/>
      <w:r w:rsidRPr="003B741A">
        <w:rPr>
          <w:rFonts w:cs="Times New Roman"/>
          <w:szCs w:val="24"/>
        </w:rPr>
        <w:t>immunoperoxidase</w:t>
      </w:r>
      <w:proofErr w:type="spellEnd"/>
      <w:r w:rsidRPr="003B741A">
        <w:rPr>
          <w:rFonts w:cs="Times New Roman"/>
          <w:szCs w:val="24"/>
        </w:rPr>
        <w:t xml:space="preserve"> detection of TH and used for estimating the number of number of TH+ neurons in the left and right </w:t>
      </w:r>
      <w:proofErr w:type="spellStart"/>
      <w:r w:rsidRPr="003B741A">
        <w:rPr>
          <w:rFonts w:cs="Times New Roman"/>
          <w:szCs w:val="24"/>
        </w:rPr>
        <w:t>SNpc</w:t>
      </w:r>
      <w:proofErr w:type="spellEnd"/>
      <w:proofErr w:type="gramEnd"/>
      <w:r w:rsidRPr="003B741A">
        <w:rPr>
          <w:rFonts w:cs="Times New Roman"/>
          <w:szCs w:val="24"/>
        </w:rPr>
        <w:t xml:space="preserve">. For this purpose, a deep-learning dedicated algorithm was prepared with </w:t>
      </w:r>
      <w:proofErr w:type="spellStart"/>
      <w:r w:rsidRPr="003B741A">
        <w:rPr>
          <w:rFonts w:cs="Times New Roman"/>
          <w:szCs w:val="24"/>
        </w:rPr>
        <w:t>Aiforia</w:t>
      </w:r>
      <w:proofErr w:type="spellEnd"/>
      <w:r w:rsidRPr="003B741A">
        <w:rPr>
          <w:rFonts w:cs="Times New Roman"/>
          <w:szCs w:val="24"/>
        </w:rPr>
        <w:t>® (</w:t>
      </w:r>
      <w:hyperlink r:id="rId7" w:history="1">
        <w:r w:rsidRPr="003B741A">
          <w:rPr>
            <w:rStyle w:val="Hipervnculo"/>
            <w:szCs w:val="24"/>
          </w:rPr>
          <w:t>www.aiforia.com</w:t>
        </w:r>
      </w:hyperlink>
      <w:r w:rsidRPr="003B741A">
        <w:rPr>
          <w:rFonts w:cs="Times New Roman"/>
          <w:szCs w:val="24"/>
        </w:rPr>
        <w:t xml:space="preserve">), validated and further released (resulting in an error of 4.82% for quantifying TH+ neurons). Ten </w:t>
      </w:r>
      <w:proofErr w:type="gramStart"/>
      <w:r w:rsidRPr="003B741A">
        <w:rPr>
          <w:rFonts w:cs="Times New Roman"/>
          <w:szCs w:val="24"/>
        </w:rPr>
        <w:t>equally-spaced</w:t>
      </w:r>
      <w:proofErr w:type="gramEnd"/>
      <w:r w:rsidRPr="003B741A">
        <w:rPr>
          <w:rFonts w:cs="Times New Roman"/>
          <w:szCs w:val="24"/>
        </w:rPr>
        <w:t xml:space="preserve"> coronal sections covering the whole </w:t>
      </w:r>
      <w:proofErr w:type="spellStart"/>
      <w:r w:rsidRPr="003B741A">
        <w:rPr>
          <w:rFonts w:cs="Times New Roman"/>
          <w:szCs w:val="24"/>
        </w:rPr>
        <w:t>rostrocaudal</w:t>
      </w:r>
      <w:proofErr w:type="spellEnd"/>
      <w:r w:rsidRPr="003B741A">
        <w:rPr>
          <w:rFonts w:cs="Times New Roman"/>
          <w:szCs w:val="24"/>
        </w:rPr>
        <w:t xml:space="preserve"> extent of the left and right </w:t>
      </w:r>
      <w:proofErr w:type="spellStart"/>
      <w:r w:rsidRPr="003B741A">
        <w:rPr>
          <w:rFonts w:cs="Times New Roman"/>
          <w:szCs w:val="24"/>
        </w:rPr>
        <w:t>SNpc</w:t>
      </w:r>
      <w:proofErr w:type="spellEnd"/>
      <w:r w:rsidRPr="003B741A">
        <w:rPr>
          <w:rFonts w:cs="Times New Roman"/>
          <w:szCs w:val="24"/>
        </w:rPr>
        <w:t xml:space="preserve"> were sampled per animal. Sections were scanned at 20x in a slide scanner (</w:t>
      </w:r>
      <w:proofErr w:type="spellStart"/>
      <w:r w:rsidRPr="003B741A">
        <w:rPr>
          <w:rFonts w:cs="Times New Roman"/>
          <w:szCs w:val="24"/>
        </w:rPr>
        <w:t>Aperio</w:t>
      </w:r>
      <w:proofErr w:type="spellEnd"/>
      <w:r w:rsidRPr="003B741A">
        <w:rPr>
          <w:rFonts w:cs="Times New Roman"/>
          <w:szCs w:val="24"/>
        </w:rPr>
        <w:t xml:space="preserve"> CS2; Leica), uploaded to </w:t>
      </w:r>
      <w:proofErr w:type="spellStart"/>
      <w:r w:rsidRPr="003B741A">
        <w:rPr>
          <w:rFonts w:cs="Times New Roman"/>
          <w:szCs w:val="24"/>
        </w:rPr>
        <w:t>Aiforia</w:t>
      </w:r>
      <w:proofErr w:type="spellEnd"/>
      <w:r w:rsidRPr="003B741A">
        <w:rPr>
          <w:rFonts w:cs="Times New Roman"/>
          <w:szCs w:val="24"/>
        </w:rPr>
        <w:t xml:space="preserve"> cloud and TH+ neurons were quantified according to a similar procedure described above for estimating the number of </w:t>
      </w:r>
      <w:proofErr w:type="spellStart"/>
      <w:r w:rsidRPr="003B741A">
        <w:rPr>
          <w:rFonts w:cs="Times New Roman"/>
          <w:szCs w:val="24"/>
        </w:rPr>
        <w:t>NMel</w:t>
      </w:r>
      <w:proofErr w:type="spellEnd"/>
      <w:r w:rsidRPr="003B741A">
        <w:rPr>
          <w:rFonts w:cs="Times New Roman"/>
          <w:szCs w:val="24"/>
        </w:rPr>
        <w:t xml:space="preserve">+ neurons. Regarding </w:t>
      </w:r>
      <w:proofErr w:type="spellStart"/>
      <w:r w:rsidRPr="003B741A">
        <w:rPr>
          <w:rFonts w:cs="Times New Roman"/>
          <w:szCs w:val="24"/>
        </w:rPr>
        <w:t>nigrostriatal</w:t>
      </w:r>
      <w:proofErr w:type="spellEnd"/>
      <w:r w:rsidRPr="003B741A">
        <w:rPr>
          <w:rFonts w:cs="Times New Roman"/>
          <w:szCs w:val="24"/>
        </w:rPr>
        <w:t xml:space="preserve"> degeneration at destination, up to 25 equally-spaced coronal sections stained for TH covering </w:t>
      </w:r>
      <w:r w:rsidRPr="003B741A">
        <w:rPr>
          <w:rFonts w:cs="Times New Roman"/>
          <w:szCs w:val="24"/>
        </w:rPr>
        <w:lastRenderedPageBreak/>
        <w:t>the whole extent of the left and right caudate and putamen nuclei (pre- and post-commissural putamen and caudate) in each animal were scanned at 20x and used for measuring TH optical densities with Fiji Image J and converted to a logarithmic scale.</w:t>
      </w:r>
    </w:p>
    <w:p w:rsidR="00561433" w:rsidRDefault="00561433" w:rsidP="00902D10">
      <w:pPr>
        <w:spacing w:line="360" w:lineRule="auto"/>
        <w:jc w:val="both"/>
        <w:rPr>
          <w:rFonts w:cs="Times New Roman"/>
          <w:b/>
        </w:rPr>
      </w:pPr>
    </w:p>
    <w:p w:rsidR="00902D10" w:rsidRDefault="00902D10" w:rsidP="00902D10">
      <w:pPr>
        <w:spacing w:line="360" w:lineRule="auto"/>
        <w:jc w:val="both"/>
        <w:rPr>
          <w:rFonts w:cs="Times New Roman"/>
          <w:b/>
        </w:rPr>
      </w:pPr>
      <w:r w:rsidRPr="00902D10">
        <w:rPr>
          <w:rFonts w:cs="Times New Roman"/>
          <w:b/>
        </w:rPr>
        <w:t>PROTOCOL #</w:t>
      </w:r>
      <w:r>
        <w:rPr>
          <w:rFonts w:cs="Times New Roman"/>
          <w:b/>
        </w:rPr>
        <w:t>10</w:t>
      </w:r>
      <w:r w:rsidRPr="00902D10">
        <w:rPr>
          <w:rFonts w:cs="Times New Roman"/>
          <w:b/>
        </w:rPr>
        <w:t xml:space="preserve">: </w:t>
      </w:r>
      <w:r>
        <w:rPr>
          <w:rFonts w:cs="Times New Roman"/>
          <w:b/>
        </w:rPr>
        <w:t xml:space="preserve">ANALYSIS OF </w:t>
      </w:r>
      <w:proofErr w:type="spellStart"/>
      <w:r>
        <w:rPr>
          <w:rFonts w:cs="Times New Roman"/>
          <w:b/>
        </w:rPr>
        <w:t>NMel</w:t>
      </w:r>
      <w:proofErr w:type="spellEnd"/>
      <w:r>
        <w:rPr>
          <w:rFonts w:cs="Times New Roman"/>
          <w:b/>
        </w:rPr>
        <w:t xml:space="preserve"> INTRACELLULAR DENSITY AND NEURONAL INCLUSIONS</w:t>
      </w:r>
    </w:p>
    <w:p w:rsidR="00902D10" w:rsidRPr="003B741A" w:rsidRDefault="00902D10" w:rsidP="00902D10">
      <w:pPr>
        <w:spacing w:line="360" w:lineRule="auto"/>
        <w:jc w:val="both"/>
        <w:rPr>
          <w:rFonts w:cs="Times New Roman"/>
        </w:rPr>
      </w:pPr>
      <w:r w:rsidRPr="003B741A">
        <w:rPr>
          <w:rFonts w:cs="Times New Roman"/>
        </w:rPr>
        <w:t xml:space="preserve">In order to evaluate to what extent intracellular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 levels correlate to the presence of intracellular inclusions, sections comprising all </w:t>
      </w:r>
      <w:proofErr w:type="spellStart"/>
      <w:r w:rsidRPr="003B741A">
        <w:rPr>
          <w:rFonts w:cs="Times New Roman"/>
        </w:rPr>
        <w:t>SNpc</w:t>
      </w:r>
      <w:proofErr w:type="spellEnd"/>
      <w:r w:rsidRPr="003B741A">
        <w:rPr>
          <w:rFonts w:cs="Times New Roman"/>
        </w:rPr>
        <w:t xml:space="preserve"> levels and </w:t>
      </w:r>
      <w:proofErr w:type="gramStart"/>
      <w:r w:rsidRPr="003B741A">
        <w:rPr>
          <w:rFonts w:cs="Times New Roman"/>
        </w:rPr>
        <w:t>stained</w:t>
      </w:r>
      <w:proofErr w:type="gramEnd"/>
      <w:r w:rsidRPr="003B741A">
        <w:rPr>
          <w:rFonts w:cs="Times New Roman"/>
        </w:rPr>
        <w:t xml:space="preserve"> for TH and P62 were used. The </w:t>
      </w:r>
      <w:proofErr w:type="spellStart"/>
      <w:r w:rsidRPr="003B741A">
        <w:rPr>
          <w:rFonts w:cs="Times New Roman"/>
        </w:rPr>
        <w:t>immunofluorescent</w:t>
      </w:r>
      <w:proofErr w:type="spellEnd"/>
      <w:r w:rsidRPr="003B741A">
        <w:rPr>
          <w:rFonts w:cs="Times New Roman"/>
        </w:rPr>
        <w:t xml:space="preserve"> detection of TH and P62 </w:t>
      </w:r>
      <w:proofErr w:type="gramStart"/>
      <w:r w:rsidRPr="003B741A">
        <w:rPr>
          <w:rFonts w:cs="Times New Roman"/>
        </w:rPr>
        <w:t>was combined</w:t>
      </w:r>
      <w:proofErr w:type="gramEnd"/>
      <w:r w:rsidRPr="003B741A">
        <w:rPr>
          <w:rFonts w:cs="Times New Roman"/>
        </w:rPr>
        <w:t xml:space="preserve"> with </w:t>
      </w:r>
      <w:proofErr w:type="spellStart"/>
      <w:r w:rsidRPr="003B741A">
        <w:rPr>
          <w:rFonts w:cs="Times New Roman"/>
        </w:rPr>
        <w:t>brightfield</w:t>
      </w:r>
      <w:proofErr w:type="spellEnd"/>
      <w:r w:rsidRPr="003B741A">
        <w:rPr>
          <w:rFonts w:cs="Times New Roman"/>
        </w:rPr>
        <w:t xml:space="preserve"> visualization of </w:t>
      </w:r>
      <w:proofErr w:type="spellStart"/>
      <w:r w:rsidRPr="003B741A">
        <w:rPr>
          <w:rFonts w:cs="Times New Roman"/>
        </w:rPr>
        <w:t>neuromelanized</w:t>
      </w:r>
      <w:proofErr w:type="spellEnd"/>
      <w:r w:rsidRPr="003B741A">
        <w:rPr>
          <w:rFonts w:cs="Times New Roman"/>
        </w:rPr>
        <w:t xml:space="preserve"> neurons under the confocal microscope at a magnification of 63x. Intracellular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 xml:space="preserve"> levels </w:t>
      </w:r>
      <w:proofErr w:type="gramStart"/>
      <w:r w:rsidRPr="003B741A">
        <w:rPr>
          <w:rFonts w:cs="Times New Roman"/>
        </w:rPr>
        <w:t>were measured</w:t>
      </w:r>
      <w:proofErr w:type="gramEnd"/>
      <w:r w:rsidRPr="003B741A">
        <w:rPr>
          <w:rFonts w:cs="Times New Roman"/>
        </w:rPr>
        <w:t xml:space="preserve"> as described above by taking advantage of confocal Z stacks of similar thickness. For every single animal, a minimum of 25 pigmented dopaminergic neurons showing P62 aggregates were randomly selected from each section (comprising 12 </w:t>
      </w:r>
      <w:proofErr w:type="gramStart"/>
      <w:r w:rsidRPr="003B741A">
        <w:rPr>
          <w:rFonts w:cs="Times New Roman"/>
        </w:rPr>
        <w:t>equally-spaced</w:t>
      </w:r>
      <w:proofErr w:type="gramEnd"/>
      <w:r w:rsidRPr="003B741A">
        <w:rPr>
          <w:rFonts w:cs="Times New Roman"/>
        </w:rPr>
        <w:t xml:space="preserve"> sections per animal covering the whole </w:t>
      </w:r>
      <w:proofErr w:type="spellStart"/>
      <w:r w:rsidRPr="003B741A">
        <w:rPr>
          <w:rFonts w:cs="Times New Roman"/>
        </w:rPr>
        <w:t>rostrocaudal</w:t>
      </w:r>
      <w:proofErr w:type="spellEnd"/>
      <w:r w:rsidRPr="003B741A">
        <w:rPr>
          <w:rFonts w:cs="Times New Roman"/>
        </w:rPr>
        <w:t xml:space="preserve"> extent of the </w:t>
      </w:r>
      <w:proofErr w:type="spellStart"/>
      <w:r w:rsidRPr="003B741A">
        <w:rPr>
          <w:rFonts w:cs="Times New Roman"/>
        </w:rPr>
        <w:t>SNpc</w:t>
      </w:r>
      <w:proofErr w:type="spellEnd"/>
      <w:r w:rsidRPr="003B741A">
        <w:rPr>
          <w:rFonts w:cs="Times New Roman"/>
        </w:rPr>
        <w:t xml:space="preserve">) and compared with a similar number of </w:t>
      </w:r>
      <w:proofErr w:type="spellStart"/>
      <w:r w:rsidRPr="003B741A">
        <w:rPr>
          <w:rFonts w:cs="Times New Roman"/>
        </w:rPr>
        <w:t>NMel</w:t>
      </w:r>
      <w:proofErr w:type="spellEnd"/>
      <w:r w:rsidRPr="003B741A">
        <w:rPr>
          <w:rFonts w:cs="Times New Roman"/>
        </w:rPr>
        <w:t>+ / TH+ neurons without P62 intracellular inclusions.</w:t>
      </w:r>
    </w:p>
    <w:p w:rsidR="00561433" w:rsidRDefault="00561433" w:rsidP="00902D10">
      <w:pPr>
        <w:spacing w:line="360" w:lineRule="auto"/>
        <w:jc w:val="both"/>
        <w:rPr>
          <w:rFonts w:cs="Times New Roman"/>
          <w:b/>
        </w:rPr>
      </w:pPr>
    </w:p>
    <w:p w:rsidR="00902D10" w:rsidRDefault="00902D10" w:rsidP="00902D10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PROTOCOL #11: QUANTIFICATION AND STATISTICAL ANALYSIS</w:t>
      </w:r>
    </w:p>
    <w:p w:rsidR="00902D10" w:rsidRPr="001D414C" w:rsidRDefault="00902D10" w:rsidP="00902D10">
      <w:pPr>
        <w:spacing w:line="360" w:lineRule="auto"/>
        <w:rPr>
          <w:rFonts w:cs="Times New Roman"/>
        </w:rPr>
      </w:pPr>
      <w:r w:rsidRPr="001D414C">
        <w:rPr>
          <w:rFonts w:cs="Times New Roman"/>
        </w:rPr>
        <w:t xml:space="preserve">Statistical analysis </w:t>
      </w:r>
      <w:proofErr w:type="gramStart"/>
      <w:r w:rsidRPr="001D414C">
        <w:rPr>
          <w:rFonts w:cs="Times New Roman"/>
        </w:rPr>
        <w:t>was done</w:t>
      </w:r>
      <w:proofErr w:type="gramEnd"/>
      <w:r w:rsidRPr="001D414C">
        <w:rPr>
          <w:rFonts w:cs="Times New Roman"/>
        </w:rPr>
        <w:t xml:space="preserve"> </w:t>
      </w:r>
      <w:r w:rsidRPr="00DB1701">
        <w:rPr>
          <w:rFonts w:cs="Times New Roman"/>
        </w:rPr>
        <w:t xml:space="preserve">in </w:t>
      </w:r>
      <w:proofErr w:type="spellStart"/>
      <w:r w:rsidRPr="00DB1701">
        <w:rPr>
          <w:rFonts w:cs="Times New Roman"/>
        </w:rPr>
        <w:t>GraphPad</w:t>
      </w:r>
      <w:proofErr w:type="spellEnd"/>
      <w:r w:rsidRPr="00DB1701">
        <w:rPr>
          <w:rFonts w:cs="Times New Roman"/>
        </w:rPr>
        <w:t xml:space="preserve"> Prism version 9.0.2. </w:t>
      </w:r>
      <w:proofErr w:type="gramStart"/>
      <w:r w:rsidRPr="00DB1701">
        <w:rPr>
          <w:rFonts w:cs="Times New Roman"/>
        </w:rPr>
        <w:t>for</w:t>
      </w:r>
      <w:proofErr w:type="gramEnd"/>
      <w:r w:rsidRPr="00DB1701">
        <w:rPr>
          <w:rFonts w:cs="Times New Roman"/>
        </w:rPr>
        <w:t xml:space="preserve"> Windows</w:t>
      </w:r>
      <w:r>
        <w:rPr>
          <w:rFonts w:cs="Times New Roman"/>
        </w:rPr>
        <w:t xml:space="preserve"> and Stata 15 (Stata Corp. 2017. Stata Statistical Software Release 15, College Station, TX; </w:t>
      </w:r>
      <w:proofErr w:type="spellStart"/>
      <w:r>
        <w:rPr>
          <w:rFonts w:cs="Times New Roman"/>
        </w:rPr>
        <w:t>StataCorp</w:t>
      </w:r>
      <w:proofErr w:type="spellEnd"/>
      <w:r>
        <w:rPr>
          <w:rFonts w:cs="Times New Roman"/>
        </w:rPr>
        <w:t xml:space="preserve"> LLC)</w:t>
      </w:r>
      <w:r w:rsidRPr="001D414C">
        <w:rPr>
          <w:rFonts w:cs="Times New Roman"/>
        </w:rPr>
        <w:t xml:space="preserve">. Relevant tests </w:t>
      </w:r>
      <w:proofErr w:type="gramStart"/>
      <w:r w:rsidRPr="001D414C">
        <w:rPr>
          <w:rFonts w:cs="Times New Roman"/>
        </w:rPr>
        <w:t>are listed</w:t>
      </w:r>
      <w:proofErr w:type="gramEnd"/>
      <w:r w:rsidRPr="001D414C">
        <w:rPr>
          <w:rFonts w:cs="Times New Roman"/>
        </w:rPr>
        <w:t xml:space="preserve"> in figure legends. Species with </w:t>
      </w:r>
      <w:r>
        <w:rPr>
          <w:rFonts w:cs="Times New Roman"/>
          <w:i/>
        </w:rPr>
        <w:t>p</w:t>
      </w:r>
      <w:r>
        <w:rPr>
          <w:rFonts w:cs="Times New Roman"/>
        </w:rPr>
        <w:t xml:space="preserve"> </w:t>
      </w:r>
      <w:r w:rsidRPr="001D414C">
        <w:rPr>
          <w:rFonts w:cs="Times New Roman"/>
        </w:rPr>
        <w:t>&lt;</w:t>
      </w:r>
      <w:r>
        <w:rPr>
          <w:rFonts w:cs="Times New Roman"/>
        </w:rPr>
        <w:t xml:space="preserve"> </w:t>
      </w:r>
      <w:r w:rsidRPr="001D414C">
        <w:rPr>
          <w:rFonts w:cs="Times New Roman"/>
        </w:rPr>
        <w:t xml:space="preserve">0.05 </w:t>
      </w:r>
      <w:proofErr w:type="gramStart"/>
      <w:r w:rsidRPr="001D414C">
        <w:rPr>
          <w:rFonts w:cs="Times New Roman"/>
        </w:rPr>
        <w:t>were considered</w:t>
      </w:r>
      <w:proofErr w:type="gramEnd"/>
      <w:r w:rsidRPr="001D414C">
        <w:rPr>
          <w:rFonts w:cs="Times New Roman"/>
        </w:rPr>
        <w:t xml:space="preserve"> statistically significant.</w:t>
      </w:r>
    </w:p>
    <w:p w:rsidR="00561433" w:rsidRDefault="00561433" w:rsidP="009700A5">
      <w:pPr>
        <w:jc w:val="both"/>
        <w:rPr>
          <w:b/>
        </w:rPr>
      </w:pPr>
    </w:p>
    <w:p w:rsidR="00874AB4" w:rsidRDefault="00902D10" w:rsidP="009700A5">
      <w:pPr>
        <w:jc w:val="both"/>
        <w:rPr>
          <w:b/>
        </w:rPr>
      </w:pPr>
      <w:r w:rsidRPr="00902D10">
        <w:rPr>
          <w:b/>
        </w:rPr>
        <w:t xml:space="preserve">CITED </w:t>
      </w:r>
      <w:r w:rsidR="00874AB4" w:rsidRPr="00902D10">
        <w:rPr>
          <w:b/>
        </w:rPr>
        <w:t>REFERENCES</w:t>
      </w:r>
    </w:p>
    <w:p w:rsidR="00867B20" w:rsidRPr="00867B20" w:rsidRDefault="00867B20" w:rsidP="00867B2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eastAsia="Times New Roman" w:cstheme="minorHAnsi"/>
        </w:rPr>
      </w:pPr>
      <w:r w:rsidRPr="00867B20">
        <w:rPr>
          <w:rFonts w:cstheme="minorHAnsi"/>
          <w:lang w:val="es-ES_tradnl"/>
        </w:rPr>
        <w:t xml:space="preserve">Carballo-Carvajal I, Laguna A, Romero-Giménez J, Cuadros T, </w:t>
      </w:r>
      <w:proofErr w:type="spellStart"/>
      <w:r w:rsidRPr="00867B20">
        <w:rPr>
          <w:rFonts w:cstheme="minorHAnsi"/>
          <w:lang w:val="es-ES_tradnl"/>
        </w:rPr>
        <w:t>Bové</w:t>
      </w:r>
      <w:proofErr w:type="spellEnd"/>
      <w:r w:rsidRPr="00867B20">
        <w:rPr>
          <w:rFonts w:cstheme="minorHAnsi"/>
          <w:lang w:val="es-ES_tradnl"/>
        </w:rPr>
        <w:t xml:space="preserve"> J, </w:t>
      </w:r>
      <w:proofErr w:type="spellStart"/>
      <w:r w:rsidRPr="00867B20">
        <w:rPr>
          <w:rFonts w:cstheme="minorHAnsi"/>
          <w:lang w:val="es-ES_tradnl"/>
        </w:rPr>
        <w:t>Martinez-Vicen</w:t>
      </w:r>
      <w:proofErr w:type="spellEnd"/>
      <w:r w:rsidRPr="00867B20">
        <w:rPr>
          <w:rFonts w:cstheme="minorHAnsi"/>
          <w:lang w:val="es-ES"/>
        </w:rPr>
        <w:t xml:space="preserve">te M, et al. </w:t>
      </w:r>
      <w:r w:rsidRPr="00867B20">
        <w:rPr>
          <w:rFonts w:cstheme="minorHAnsi"/>
        </w:rPr>
        <w:t xml:space="preserve">Brain </w:t>
      </w:r>
      <w:proofErr w:type="spellStart"/>
      <w:r w:rsidRPr="00867B20">
        <w:rPr>
          <w:rFonts w:cstheme="minorHAnsi"/>
        </w:rPr>
        <w:t>tyrosinase</w:t>
      </w:r>
      <w:proofErr w:type="spellEnd"/>
      <w:r w:rsidRPr="00867B20">
        <w:rPr>
          <w:rFonts w:cstheme="minorHAnsi"/>
        </w:rPr>
        <w:t xml:space="preserve"> overexpression implicates age-dependent neuromelanin production in Parkinson’s disease pathogenesis. </w:t>
      </w:r>
      <w:r w:rsidRPr="00867B20">
        <w:rPr>
          <w:rFonts w:cstheme="minorHAnsi"/>
          <w:i/>
        </w:rPr>
        <w:t xml:space="preserve">Nat </w:t>
      </w:r>
      <w:proofErr w:type="spellStart"/>
      <w:r w:rsidRPr="00867B20">
        <w:rPr>
          <w:rFonts w:cstheme="minorHAnsi"/>
          <w:i/>
        </w:rPr>
        <w:t>Commun</w:t>
      </w:r>
      <w:proofErr w:type="spellEnd"/>
      <w:r w:rsidRPr="00867B20">
        <w:rPr>
          <w:rFonts w:cstheme="minorHAnsi"/>
        </w:rPr>
        <w:t>. 2019</w:t>
      </w:r>
      <w:proofErr w:type="gramStart"/>
      <w:r w:rsidRPr="00867B20">
        <w:rPr>
          <w:rFonts w:cstheme="minorHAnsi"/>
        </w:rPr>
        <w:t>;10:973</w:t>
      </w:r>
      <w:proofErr w:type="gramEnd"/>
      <w:r w:rsidRPr="00867B20">
        <w:rPr>
          <w:rFonts w:cstheme="minorHAnsi"/>
        </w:rPr>
        <w:t>.</w:t>
      </w:r>
    </w:p>
    <w:p w:rsidR="00867B20" w:rsidRPr="00867B20" w:rsidRDefault="00867B20" w:rsidP="00867B2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eastAsia="Times New Roman" w:cstheme="minorHAnsi"/>
        </w:rPr>
      </w:pPr>
      <w:proofErr w:type="spellStart"/>
      <w:r w:rsidRPr="00867B20">
        <w:rPr>
          <w:rFonts w:cstheme="minorHAnsi"/>
        </w:rPr>
        <w:t>Zolotukhin</w:t>
      </w:r>
      <w:proofErr w:type="spellEnd"/>
      <w:r w:rsidRPr="00867B20">
        <w:rPr>
          <w:rFonts w:cstheme="minorHAnsi"/>
        </w:rPr>
        <w:t xml:space="preserve"> S, Byrne BJ, Mason E, </w:t>
      </w:r>
      <w:proofErr w:type="spellStart"/>
      <w:r w:rsidRPr="00867B20">
        <w:rPr>
          <w:rFonts w:cstheme="minorHAnsi"/>
        </w:rPr>
        <w:t>Zolotukhin</w:t>
      </w:r>
      <w:proofErr w:type="spellEnd"/>
      <w:r w:rsidRPr="00867B20">
        <w:rPr>
          <w:rFonts w:cstheme="minorHAnsi"/>
        </w:rPr>
        <w:t xml:space="preserve"> I, Potter M, </w:t>
      </w:r>
      <w:proofErr w:type="spellStart"/>
      <w:r w:rsidRPr="00867B20">
        <w:rPr>
          <w:rFonts w:cstheme="minorHAnsi"/>
        </w:rPr>
        <w:t>Chesnut</w:t>
      </w:r>
      <w:proofErr w:type="spellEnd"/>
      <w:r w:rsidRPr="00867B20">
        <w:rPr>
          <w:rFonts w:cstheme="minorHAnsi"/>
        </w:rPr>
        <w:t xml:space="preserve"> K, et al. Recombinant adeno-associated virus purification using novel methods improves infectious titer and yield. </w:t>
      </w:r>
      <w:r w:rsidRPr="00867B20">
        <w:rPr>
          <w:rFonts w:cstheme="minorHAnsi"/>
          <w:i/>
        </w:rPr>
        <w:t xml:space="preserve">Gene </w:t>
      </w:r>
      <w:proofErr w:type="spellStart"/>
      <w:r w:rsidRPr="00867B20">
        <w:rPr>
          <w:rFonts w:cstheme="minorHAnsi"/>
          <w:i/>
        </w:rPr>
        <w:t>Ther</w:t>
      </w:r>
      <w:proofErr w:type="spellEnd"/>
      <w:r w:rsidRPr="00867B20">
        <w:rPr>
          <w:rFonts w:cstheme="minorHAnsi"/>
          <w:i/>
        </w:rPr>
        <w:t>.</w:t>
      </w:r>
      <w:r w:rsidRPr="00867B20">
        <w:rPr>
          <w:rFonts w:cstheme="minorHAnsi"/>
        </w:rPr>
        <w:t xml:space="preserve"> 1999</w:t>
      </w:r>
      <w:proofErr w:type="gramStart"/>
      <w:r w:rsidRPr="00867B20">
        <w:rPr>
          <w:rFonts w:cstheme="minorHAnsi"/>
        </w:rPr>
        <w:t>;6:973</w:t>
      </w:r>
      <w:proofErr w:type="gramEnd"/>
      <w:r w:rsidRPr="00867B20">
        <w:rPr>
          <w:rFonts w:cstheme="minorHAnsi"/>
        </w:rPr>
        <w:t>-985.</w:t>
      </w:r>
    </w:p>
    <w:p w:rsidR="00867B20" w:rsidRPr="00867B20" w:rsidRDefault="00867B20" w:rsidP="00867B2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eastAsia="Times New Roman" w:cstheme="minorHAnsi"/>
        </w:rPr>
      </w:pPr>
      <w:r w:rsidRPr="00867B20">
        <w:rPr>
          <w:rFonts w:cstheme="minorHAnsi"/>
        </w:rPr>
        <w:t xml:space="preserve">Lanciego JL, Vázquez A. The basal ganglia and thalamus of the long-tailed macaque in stereotaxic coordinates. A template atlas based on coronal, sagittal and horizontal brain sections. </w:t>
      </w:r>
      <w:r w:rsidRPr="00867B20">
        <w:rPr>
          <w:rFonts w:cstheme="minorHAnsi"/>
          <w:i/>
        </w:rPr>
        <w:t xml:space="preserve">Brain </w:t>
      </w:r>
      <w:proofErr w:type="spellStart"/>
      <w:r w:rsidRPr="00867B20">
        <w:rPr>
          <w:rFonts w:cstheme="minorHAnsi"/>
          <w:i/>
        </w:rPr>
        <w:t>Struct</w:t>
      </w:r>
      <w:proofErr w:type="spellEnd"/>
      <w:r w:rsidRPr="00867B20">
        <w:rPr>
          <w:rFonts w:cstheme="minorHAnsi"/>
          <w:i/>
        </w:rPr>
        <w:t xml:space="preserve"> </w:t>
      </w:r>
      <w:proofErr w:type="spellStart"/>
      <w:r w:rsidRPr="00867B20">
        <w:rPr>
          <w:rFonts w:cstheme="minorHAnsi"/>
          <w:i/>
        </w:rPr>
        <w:t>Funct</w:t>
      </w:r>
      <w:proofErr w:type="spellEnd"/>
      <w:r w:rsidRPr="00867B20">
        <w:rPr>
          <w:rFonts w:cstheme="minorHAnsi"/>
          <w:i/>
        </w:rPr>
        <w:t>.</w:t>
      </w:r>
      <w:r w:rsidRPr="00867B20">
        <w:rPr>
          <w:rFonts w:cstheme="minorHAnsi"/>
        </w:rPr>
        <w:t xml:space="preserve"> 2012</w:t>
      </w:r>
      <w:proofErr w:type="gramStart"/>
      <w:r w:rsidRPr="00867B20">
        <w:rPr>
          <w:rFonts w:cstheme="minorHAnsi"/>
        </w:rPr>
        <w:t>;217:613</w:t>
      </w:r>
      <w:proofErr w:type="gramEnd"/>
      <w:r w:rsidRPr="00867B20">
        <w:rPr>
          <w:rFonts w:cstheme="minorHAnsi"/>
        </w:rPr>
        <w:t>-666.</w:t>
      </w:r>
    </w:p>
    <w:p w:rsidR="00867B20" w:rsidRPr="00867B20" w:rsidRDefault="00867B20" w:rsidP="00867B2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eastAsia="Times New Roman" w:cstheme="minorHAnsi"/>
        </w:rPr>
      </w:pPr>
      <w:proofErr w:type="spellStart"/>
      <w:r w:rsidRPr="00867B20">
        <w:rPr>
          <w:rFonts w:cstheme="minorHAnsi"/>
          <w:lang w:val="es-ES"/>
        </w:rPr>
        <w:lastRenderedPageBreak/>
        <w:t>Blesa</w:t>
      </w:r>
      <w:proofErr w:type="spellEnd"/>
      <w:r w:rsidRPr="00867B20">
        <w:rPr>
          <w:rFonts w:cstheme="minorHAnsi"/>
          <w:lang w:val="es-ES"/>
        </w:rPr>
        <w:t xml:space="preserve"> J, </w:t>
      </w:r>
      <w:proofErr w:type="spellStart"/>
      <w:r w:rsidRPr="00867B20">
        <w:rPr>
          <w:rFonts w:cstheme="minorHAnsi"/>
          <w:lang w:val="es-ES"/>
        </w:rPr>
        <w:t>Juri</w:t>
      </w:r>
      <w:proofErr w:type="spellEnd"/>
      <w:r w:rsidRPr="00867B20">
        <w:rPr>
          <w:rFonts w:cstheme="minorHAnsi"/>
          <w:lang w:val="es-ES"/>
        </w:rPr>
        <w:t xml:space="preserve"> C, </w:t>
      </w:r>
      <w:proofErr w:type="spellStart"/>
      <w:r w:rsidRPr="00867B20">
        <w:rPr>
          <w:rFonts w:cstheme="minorHAnsi"/>
          <w:lang w:val="es-ES"/>
        </w:rPr>
        <w:t>Collantes</w:t>
      </w:r>
      <w:proofErr w:type="spellEnd"/>
      <w:r w:rsidRPr="00867B20">
        <w:rPr>
          <w:rFonts w:cstheme="minorHAnsi"/>
          <w:lang w:val="es-ES"/>
        </w:rPr>
        <w:t xml:space="preserve"> M, Peñuelas I, Prieto E, Iglesias E, et al. </w:t>
      </w:r>
      <w:r w:rsidRPr="00867B20">
        <w:rPr>
          <w:rFonts w:cstheme="minorHAnsi"/>
        </w:rPr>
        <w:t>Progression of dopaminergic depletion in a model of MPTP-induced parkinsonism in non-human primates. An (18</w:t>
      </w:r>
      <w:proofErr w:type="gramStart"/>
      <w:r w:rsidRPr="00867B20">
        <w:rPr>
          <w:rFonts w:cstheme="minorHAnsi"/>
        </w:rPr>
        <w:t>)F</w:t>
      </w:r>
      <w:proofErr w:type="gramEnd"/>
      <w:r w:rsidRPr="00867B20">
        <w:rPr>
          <w:rFonts w:cstheme="minorHAnsi"/>
        </w:rPr>
        <w:t xml:space="preserve">-DOPA and (11)C-DTBZ PET study. </w:t>
      </w:r>
      <w:proofErr w:type="spellStart"/>
      <w:r w:rsidRPr="00867B20">
        <w:rPr>
          <w:rFonts w:cstheme="minorHAnsi"/>
          <w:i/>
        </w:rPr>
        <w:t>Neurobiol</w:t>
      </w:r>
      <w:proofErr w:type="spellEnd"/>
      <w:r w:rsidRPr="00867B20">
        <w:rPr>
          <w:rFonts w:cstheme="minorHAnsi"/>
          <w:i/>
        </w:rPr>
        <w:t xml:space="preserve"> Dis</w:t>
      </w:r>
      <w:r w:rsidRPr="00867B20">
        <w:rPr>
          <w:rFonts w:cstheme="minorHAnsi"/>
        </w:rPr>
        <w:t>. 2010</w:t>
      </w:r>
      <w:proofErr w:type="gramStart"/>
      <w:r w:rsidRPr="00867B20">
        <w:rPr>
          <w:rFonts w:cstheme="minorHAnsi"/>
        </w:rPr>
        <w:t>;38:456</w:t>
      </w:r>
      <w:proofErr w:type="gramEnd"/>
      <w:r w:rsidRPr="00867B20">
        <w:rPr>
          <w:rFonts w:cstheme="minorHAnsi"/>
        </w:rPr>
        <w:t>-463.</w:t>
      </w:r>
    </w:p>
    <w:p w:rsidR="00867B20" w:rsidRPr="00867B20" w:rsidRDefault="00867B20" w:rsidP="00867B2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eastAsia="Times New Roman" w:cstheme="minorHAnsi"/>
        </w:rPr>
      </w:pPr>
      <w:proofErr w:type="spellStart"/>
      <w:r w:rsidRPr="00867B20">
        <w:rPr>
          <w:rFonts w:cstheme="minorHAnsi"/>
          <w:lang w:val="es-ES_tradnl"/>
        </w:rPr>
        <w:t>Collantes</w:t>
      </w:r>
      <w:proofErr w:type="spellEnd"/>
      <w:r w:rsidRPr="00867B20">
        <w:rPr>
          <w:rFonts w:cstheme="minorHAnsi"/>
          <w:lang w:val="es-ES_tradnl"/>
        </w:rPr>
        <w:t xml:space="preserve"> M, Prieto E, Peñuelas I, </w:t>
      </w:r>
      <w:proofErr w:type="spellStart"/>
      <w:r w:rsidRPr="00867B20">
        <w:rPr>
          <w:rFonts w:cstheme="minorHAnsi"/>
          <w:lang w:val="es-ES_tradnl"/>
        </w:rPr>
        <w:t>Blesa</w:t>
      </w:r>
      <w:proofErr w:type="spellEnd"/>
      <w:r w:rsidRPr="00867B20">
        <w:rPr>
          <w:rFonts w:cstheme="minorHAnsi"/>
          <w:lang w:val="es-ES_tradnl"/>
        </w:rPr>
        <w:t xml:space="preserve"> J, </w:t>
      </w:r>
      <w:proofErr w:type="spellStart"/>
      <w:r w:rsidRPr="00867B20">
        <w:rPr>
          <w:rFonts w:cstheme="minorHAnsi"/>
          <w:lang w:val="es-ES_tradnl"/>
        </w:rPr>
        <w:t>Juri</w:t>
      </w:r>
      <w:proofErr w:type="spellEnd"/>
      <w:r w:rsidRPr="00867B20">
        <w:rPr>
          <w:rFonts w:cstheme="minorHAnsi"/>
          <w:lang w:val="es-ES_tradnl"/>
        </w:rPr>
        <w:t xml:space="preserve"> C, Martí-</w:t>
      </w:r>
      <w:proofErr w:type="spellStart"/>
      <w:r w:rsidRPr="00867B20">
        <w:rPr>
          <w:rFonts w:cstheme="minorHAnsi"/>
          <w:lang w:val="es-ES_tradnl"/>
        </w:rPr>
        <w:t>Climent</w:t>
      </w:r>
      <w:proofErr w:type="spellEnd"/>
      <w:r w:rsidRPr="00867B20">
        <w:rPr>
          <w:rFonts w:cstheme="minorHAnsi"/>
          <w:lang w:val="es-ES_tradnl"/>
        </w:rPr>
        <w:t xml:space="preserve"> JM, et al. </w:t>
      </w:r>
      <w:r w:rsidRPr="00867B20">
        <w:rPr>
          <w:rFonts w:cstheme="minorHAnsi"/>
        </w:rPr>
        <w:t>New MRI, 18F-DOPA and 11C</w:t>
      </w:r>
      <w:proofErr w:type="gramStart"/>
      <w:r w:rsidRPr="00867B20">
        <w:rPr>
          <w:rFonts w:cstheme="minorHAnsi"/>
        </w:rPr>
        <w:t>-(</w:t>
      </w:r>
      <w:proofErr w:type="gramEnd"/>
      <w:r w:rsidRPr="00867B20">
        <w:rPr>
          <w:rFonts w:cstheme="minorHAnsi"/>
        </w:rPr>
        <w:t>+)-alpha-</w:t>
      </w:r>
      <w:proofErr w:type="spellStart"/>
      <w:r w:rsidRPr="00867B20">
        <w:rPr>
          <w:rFonts w:cstheme="minorHAnsi"/>
        </w:rPr>
        <w:t>dihidrotetrabenazine</w:t>
      </w:r>
      <w:proofErr w:type="spellEnd"/>
      <w:r w:rsidRPr="00867B20">
        <w:rPr>
          <w:rFonts w:cstheme="minorHAnsi"/>
        </w:rPr>
        <w:t xml:space="preserve"> templates for </w:t>
      </w:r>
      <w:proofErr w:type="spellStart"/>
      <w:r w:rsidRPr="00867B20">
        <w:rPr>
          <w:rFonts w:cstheme="minorHAnsi"/>
        </w:rPr>
        <w:t>Macaca</w:t>
      </w:r>
      <w:proofErr w:type="spellEnd"/>
      <w:r w:rsidRPr="00867B20">
        <w:rPr>
          <w:rFonts w:cstheme="minorHAnsi"/>
        </w:rPr>
        <w:t xml:space="preserve"> </w:t>
      </w:r>
      <w:proofErr w:type="spellStart"/>
      <w:r w:rsidRPr="00867B20">
        <w:rPr>
          <w:rFonts w:cstheme="minorHAnsi"/>
        </w:rPr>
        <w:t>fascicularis</w:t>
      </w:r>
      <w:proofErr w:type="spellEnd"/>
      <w:r w:rsidRPr="00867B20">
        <w:rPr>
          <w:rFonts w:cstheme="minorHAnsi"/>
        </w:rPr>
        <w:t xml:space="preserve"> neuroimaging: advantages to improve PET quantification. </w:t>
      </w:r>
      <w:proofErr w:type="spellStart"/>
      <w:r w:rsidRPr="00867B20">
        <w:rPr>
          <w:rFonts w:cstheme="minorHAnsi"/>
          <w:i/>
        </w:rPr>
        <w:t>Neuroimage</w:t>
      </w:r>
      <w:proofErr w:type="spellEnd"/>
      <w:r w:rsidRPr="00867B20">
        <w:rPr>
          <w:rFonts w:cstheme="minorHAnsi"/>
        </w:rPr>
        <w:t xml:space="preserve"> 2009</w:t>
      </w:r>
      <w:proofErr w:type="gramStart"/>
      <w:r w:rsidRPr="00867B20">
        <w:rPr>
          <w:rFonts w:cstheme="minorHAnsi"/>
        </w:rPr>
        <w:t>;47:533</w:t>
      </w:r>
      <w:proofErr w:type="gramEnd"/>
      <w:r w:rsidRPr="00867B20">
        <w:rPr>
          <w:rFonts w:cstheme="minorHAnsi"/>
        </w:rPr>
        <w:t>-539.</w:t>
      </w:r>
    </w:p>
    <w:p w:rsidR="00867B20" w:rsidRPr="00867B20" w:rsidRDefault="00867B20" w:rsidP="00867B2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Style w:val="Hipervnculo"/>
          <w:rFonts w:eastAsia="Times New Roman" w:cstheme="minorHAnsi"/>
          <w:color w:val="auto"/>
        </w:rPr>
      </w:pPr>
      <w:proofErr w:type="spellStart"/>
      <w:r w:rsidRPr="00867B20">
        <w:rPr>
          <w:rFonts w:cstheme="minorHAnsi"/>
          <w:lang w:val="es-ES"/>
        </w:rPr>
        <w:t>Ariz</w:t>
      </w:r>
      <w:proofErr w:type="spellEnd"/>
      <w:r w:rsidRPr="00867B20">
        <w:rPr>
          <w:rFonts w:cstheme="minorHAnsi"/>
          <w:lang w:val="es-ES"/>
        </w:rPr>
        <w:t xml:space="preserve"> M, Abad RC, </w:t>
      </w:r>
      <w:proofErr w:type="spellStart"/>
      <w:r w:rsidRPr="00867B20">
        <w:rPr>
          <w:rFonts w:cstheme="minorHAnsi"/>
          <w:lang w:val="es-ES"/>
        </w:rPr>
        <w:t>Gastellanos</w:t>
      </w:r>
      <w:proofErr w:type="spellEnd"/>
      <w:r w:rsidRPr="00867B20">
        <w:rPr>
          <w:rFonts w:cstheme="minorHAnsi"/>
          <w:lang w:val="es-ES"/>
        </w:rPr>
        <w:t xml:space="preserve"> G, </w:t>
      </w:r>
      <w:proofErr w:type="spellStart"/>
      <w:r w:rsidRPr="00867B20">
        <w:rPr>
          <w:rFonts w:cstheme="minorHAnsi"/>
          <w:lang w:val="es-ES"/>
        </w:rPr>
        <w:t>Martinez</w:t>
      </w:r>
      <w:proofErr w:type="spellEnd"/>
      <w:r w:rsidRPr="00867B20">
        <w:rPr>
          <w:rFonts w:cstheme="minorHAnsi"/>
          <w:lang w:val="es-ES"/>
        </w:rPr>
        <w:t xml:space="preserve"> M, </w:t>
      </w:r>
      <w:proofErr w:type="spellStart"/>
      <w:r w:rsidRPr="00867B20">
        <w:rPr>
          <w:rFonts w:cstheme="minorHAnsi"/>
          <w:lang w:val="es-ES"/>
        </w:rPr>
        <w:t>Munoz-Barrutia</w:t>
      </w:r>
      <w:proofErr w:type="spellEnd"/>
      <w:r w:rsidRPr="00867B20">
        <w:rPr>
          <w:rFonts w:cstheme="minorHAnsi"/>
          <w:lang w:val="es-ES"/>
        </w:rPr>
        <w:t xml:space="preserve"> A, </w:t>
      </w:r>
      <w:proofErr w:type="spellStart"/>
      <w:r w:rsidRPr="00867B20">
        <w:rPr>
          <w:rFonts w:cstheme="minorHAnsi"/>
          <w:lang w:val="es-ES"/>
        </w:rPr>
        <w:t>Fernandez-Seara</w:t>
      </w:r>
      <w:proofErr w:type="spellEnd"/>
      <w:r w:rsidRPr="00867B20">
        <w:rPr>
          <w:rFonts w:cstheme="minorHAnsi"/>
          <w:lang w:val="es-ES"/>
        </w:rPr>
        <w:t xml:space="preserve"> MA, et al. </w:t>
      </w:r>
      <w:r w:rsidRPr="00867B20">
        <w:rPr>
          <w:rFonts w:cstheme="minorHAnsi"/>
        </w:rPr>
        <w:t>Dynamic atlas-</w:t>
      </w:r>
      <w:proofErr w:type="spellStart"/>
      <w:r w:rsidRPr="00867B20">
        <w:rPr>
          <w:rFonts w:cstheme="minorHAnsi"/>
        </w:rPr>
        <w:t>absed</w:t>
      </w:r>
      <w:proofErr w:type="spellEnd"/>
      <w:r w:rsidRPr="00867B20">
        <w:rPr>
          <w:rFonts w:cstheme="minorHAnsi"/>
        </w:rPr>
        <w:t xml:space="preserve"> segmentation and quantification of neuromelanin-rich brainstem structures in Parkinson disease. </w:t>
      </w:r>
      <w:r w:rsidRPr="00867B20">
        <w:rPr>
          <w:rFonts w:cstheme="minorHAnsi"/>
          <w:i/>
        </w:rPr>
        <w:t>IEEE Trans Med Imaging</w:t>
      </w:r>
      <w:r w:rsidRPr="00867B20">
        <w:rPr>
          <w:rFonts w:cstheme="minorHAnsi"/>
        </w:rPr>
        <w:t xml:space="preserve"> 2019</w:t>
      </w:r>
      <w:proofErr w:type="gramStart"/>
      <w:r w:rsidRPr="00867B20">
        <w:rPr>
          <w:rFonts w:cstheme="minorHAnsi"/>
        </w:rPr>
        <w:t>;38:813</w:t>
      </w:r>
      <w:proofErr w:type="gramEnd"/>
      <w:r w:rsidRPr="00867B20">
        <w:rPr>
          <w:rFonts w:cstheme="minorHAnsi"/>
        </w:rPr>
        <w:t xml:space="preserve">-823. </w:t>
      </w:r>
    </w:p>
    <w:p w:rsidR="00867B20" w:rsidRPr="00867B20" w:rsidRDefault="00867B20" w:rsidP="00867B2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rFonts w:eastAsia="Times New Roman" w:cstheme="minorHAnsi"/>
        </w:rPr>
      </w:pPr>
      <w:r w:rsidRPr="00867B20">
        <w:rPr>
          <w:rFonts w:cstheme="minorHAnsi"/>
          <w:lang w:val="es-ES"/>
        </w:rPr>
        <w:t>Castellanos G, Fernández-</w:t>
      </w:r>
      <w:proofErr w:type="spellStart"/>
      <w:r w:rsidRPr="00867B20">
        <w:rPr>
          <w:rFonts w:cstheme="minorHAnsi"/>
          <w:lang w:val="es-ES"/>
        </w:rPr>
        <w:t>Seara</w:t>
      </w:r>
      <w:proofErr w:type="spellEnd"/>
      <w:r w:rsidRPr="00867B20">
        <w:rPr>
          <w:rFonts w:cstheme="minorHAnsi"/>
          <w:lang w:val="es-ES"/>
        </w:rPr>
        <w:t xml:space="preserve"> MA, Lorenzo-</w:t>
      </w:r>
      <w:proofErr w:type="spellStart"/>
      <w:r w:rsidRPr="00867B20">
        <w:rPr>
          <w:rFonts w:cstheme="minorHAnsi"/>
          <w:lang w:val="es-ES"/>
        </w:rPr>
        <w:t>Betancor</w:t>
      </w:r>
      <w:proofErr w:type="spellEnd"/>
      <w:r w:rsidRPr="00867B20">
        <w:rPr>
          <w:rFonts w:cstheme="minorHAnsi"/>
          <w:lang w:val="es-ES"/>
        </w:rPr>
        <w:t xml:space="preserve"> O, Ortega-Cubero S, </w:t>
      </w:r>
      <w:proofErr w:type="spellStart"/>
      <w:r w:rsidRPr="00867B20">
        <w:rPr>
          <w:rFonts w:cstheme="minorHAnsi"/>
          <w:lang w:val="es-ES"/>
        </w:rPr>
        <w:t>Puigvert</w:t>
      </w:r>
      <w:proofErr w:type="spellEnd"/>
      <w:r w:rsidRPr="00867B20">
        <w:rPr>
          <w:rFonts w:cstheme="minorHAnsi"/>
          <w:lang w:val="es-ES"/>
        </w:rPr>
        <w:t xml:space="preserve"> M, Uranga J, et al. </w:t>
      </w:r>
      <w:r w:rsidRPr="00867B20">
        <w:rPr>
          <w:rFonts w:cstheme="minorHAnsi"/>
        </w:rPr>
        <w:t xml:space="preserve">Automated neuromelanin imaging as a diagnostic biomarker for Parkinson’s disease. </w:t>
      </w:r>
      <w:proofErr w:type="spellStart"/>
      <w:r w:rsidRPr="00867B20">
        <w:rPr>
          <w:rFonts w:cstheme="minorHAnsi"/>
          <w:i/>
        </w:rPr>
        <w:t>Mov</w:t>
      </w:r>
      <w:proofErr w:type="spellEnd"/>
      <w:r w:rsidRPr="00867B20">
        <w:rPr>
          <w:rFonts w:cstheme="minorHAnsi"/>
          <w:i/>
        </w:rPr>
        <w:t xml:space="preserve"> </w:t>
      </w:r>
      <w:proofErr w:type="spellStart"/>
      <w:r w:rsidRPr="00867B20">
        <w:rPr>
          <w:rFonts w:cstheme="minorHAnsi"/>
          <w:i/>
        </w:rPr>
        <w:t>Disord</w:t>
      </w:r>
      <w:proofErr w:type="spellEnd"/>
      <w:r w:rsidRPr="00867B20">
        <w:rPr>
          <w:rFonts w:cstheme="minorHAnsi"/>
        </w:rPr>
        <w:t>. 2015</w:t>
      </w:r>
      <w:proofErr w:type="gramStart"/>
      <w:r w:rsidRPr="00867B20">
        <w:rPr>
          <w:rFonts w:cstheme="minorHAnsi"/>
        </w:rPr>
        <w:t>;30:945</w:t>
      </w:r>
      <w:proofErr w:type="gramEnd"/>
      <w:r w:rsidRPr="00867B20">
        <w:rPr>
          <w:rFonts w:cstheme="minorHAnsi"/>
        </w:rPr>
        <w:t>-952.</w:t>
      </w:r>
    </w:p>
    <w:p w:rsidR="00867B20" w:rsidRPr="00867B20" w:rsidRDefault="00867B20" w:rsidP="00867B20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</w:rPr>
      </w:pPr>
      <w:proofErr w:type="spellStart"/>
      <w:r w:rsidRPr="00867B20">
        <w:rPr>
          <w:rFonts w:cstheme="minorHAnsi"/>
        </w:rPr>
        <w:t>Ruifrok</w:t>
      </w:r>
      <w:proofErr w:type="spellEnd"/>
      <w:r w:rsidRPr="00867B20">
        <w:rPr>
          <w:rFonts w:cstheme="minorHAnsi"/>
        </w:rPr>
        <w:t xml:space="preserve"> AC, Johnston DA. Quantification of histochemical staining by color deconvolution. </w:t>
      </w:r>
      <w:r w:rsidRPr="00867B20">
        <w:rPr>
          <w:rFonts w:cstheme="minorHAnsi"/>
          <w:i/>
        </w:rPr>
        <w:t xml:space="preserve">Anal Quant </w:t>
      </w:r>
      <w:proofErr w:type="spellStart"/>
      <w:r w:rsidRPr="00867B20">
        <w:rPr>
          <w:rFonts w:cstheme="minorHAnsi"/>
          <w:i/>
        </w:rPr>
        <w:t>Cytol</w:t>
      </w:r>
      <w:proofErr w:type="spellEnd"/>
      <w:r w:rsidRPr="00867B20">
        <w:rPr>
          <w:rFonts w:cstheme="minorHAnsi"/>
          <w:i/>
        </w:rPr>
        <w:t xml:space="preserve"> </w:t>
      </w:r>
      <w:proofErr w:type="spellStart"/>
      <w:r w:rsidRPr="00867B20">
        <w:rPr>
          <w:rFonts w:cstheme="minorHAnsi"/>
          <w:i/>
        </w:rPr>
        <w:t>Histol</w:t>
      </w:r>
      <w:proofErr w:type="spellEnd"/>
      <w:r w:rsidRPr="00867B20">
        <w:rPr>
          <w:rFonts w:cstheme="minorHAnsi"/>
          <w:i/>
        </w:rPr>
        <w:t>.</w:t>
      </w:r>
      <w:r w:rsidRPr="00867B20">
        <w:rPr>
          <w:rFonts w:cstheme="minorHAnsi"/>
        </w:rPr>
        <w:t xml:space="preserve"> 2001</w:t>
      </w:r>
      <w:proofErr w:type="gramStart"/>
      <w:r w:rsidRPr="00867B20">
        <w:rPr>
          <w:rFonts w:cstheme="minorHAnsi"/>
        </w:rPr>
        <w:t>;23:291</w:t>
      </w:r>
      <w:proofErr w:type="gramEnd"/>
      <w:r w:rsidRPr="00867B20">
        <w:rPr>
          <w:rFonts w:cstheme="minorHAnsi"/>
        </w:rPr>
        <w:t>-299.</w:t>
      </w:r>
    </w:p>
    <w:p w:rsidR="00867B20" w:rsidRPr="00867B20" w:rsidRDefault="00867B20" w:rsidP="00867B20">
      <w:pPr>
        <w:ind w:left="284" w:hanging="284"/>
        <w:jc w:val="both"/>
        <w:rPr>
          <w:rFonts w:ascii="Arial" w:hAnsi="Arial" w:cs="Arial"/>
          <w:b/>
        </w:rPr>
      </w:pPr>
    </w:p>
    <w:sectPr w:rsidR="00867B20" w:rsidRPr="00867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4FD4"/>
    <w:multiLevelType w:val="hybridMultilevel"/>
    <w:tmpl w:val="67B0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11D3E"/>
    <w:multiLevelType w:val="hybridMultilevel"/>
    <w:tmpl w:val="0F6E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C1"/>
    <w:rsid w:val="00215350"/>
    <w:rsid w:val="00561433"/>
    <w:rsid w:val="006259C5"/>
    <w:rsid w:val="00684332"/>
    <w:rsid w:val="00867B20"/>
    <w:rsid w:val="00874AB4"/>
    <w:rsid w:val="00902D10"/>
    <w:rsid w:val="009700A5"/>
    <w:rsid w:val="00A65EB4"/>
    <w:rsid w:val="00AC1BE8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4C9C"/>
  <w15:chartTrackingRefBased/>
  <w15:docId w15:val="{CD7414BA-FEB8-4C4F-AB47-55D20D90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33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C1BE8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fo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foria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Lanciego Perez</dc:creator>
  <cp:keywords/>
  <dc:description/>
  <cp:lastModifiedBy>Jose Luis Lanciego Perez</cp:lastModifiedBy>
  <cp:revision>10</cp:revision>
  <dcterms:created xsi:type="dcterms:W3CDTF">2023-09-19T08:49:00Z</dcterms:created>
  <dcterms:modified xsi:type="dcterms:W3CDTF">2023-09-19T10:41:00Z</dcterms:modified>
</cp:coreProperties>
</file>