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C5" w:rsidRPr="00F95FFE" w:rsidRDefault="00190676" w:rsidP="00F95FFE">
      <w:pPr>
        <w:jc w:val="center"/>
        <w:rPr>
          <w:b/>
          <w:sz w:val="36"/>
          <w:szCs w:val="36"/>
        </w:rPr>
      </w:pPr>
      <w:r w:rsidRPr="00F95FFE">
        <w:rPr>
          <w:b/>
          <w:sz w:val="36"/>
          <w:szCs w:val="36"/>
        </w:rPr>
        <w:t xml:space="preserve">PROTOCOL for </w:t>
      </w:r>
      <w:r w:rsidRPr="00F95FFE">
        <w:rPr>
          <w:b/>
          <w:i/>
          <w:sz w:val="36"/>
          <w:szCs w:val="36"/>
        </w:rPr>
        <w:t xml:space="preserve">“Development and characterization of a non-human primate model of disseminated </w:t>
      </w:r>
      <w:proofErr w:type="spellStart"/>
      <w:r w:rsidRPr="00F95FFE">
        <w:rPr>
          <w:b/>
          <w:i/>
          <w:sz w:val="36"/>
          <w:szCs w:val="36"/>
        </w:rPr>
        <w:t>synucleinopathy</w:t>
      </w:r>
      <w:proofErr w:type="spellEnd"/>
      <w:r w:rsidRPr="00F95FFE">
        <w:rPr>
          <w:b/>
          <w:i/>
          <w:sz w:val="36"/>
          <w:szCs w:val="36"/>
        </w:rPr>
        <w:t>”</w:t>
      </w:r>
    </w:p>
    <w:p w:rsidR="00190676" w:rsidRDefault="00190676"/>
    <w:p w:rsidR="007E700C" w:rsidRPr="00D31B71" w:rsidRDefault="007E700C" w:rsidP="007E700C">
      <w:pPr>
        <w:jc w:val="center"/>
        <w:rPr>
          <w:sz w:val="24"/>
          <w:szCs w:val="24"/>
          <w:vertAlign w:val="superscript"/>
          <w:lang w:val="es-ES_tradnl"/>
        </w:rPr>
      </w:pPr>
      <w:r w:rsidRPr="00D31B71">
        <w:rPr>
          <w:sz w:val="24"/>
          <w:szCs w:val="24"/>
          <w:lang w:val="es-ES_tradnl"/>
        </w:rPr>
        <w:t>Alberto J. Rico</w:t>
      </w:r>
      <w:r w:rsidRPr="00D31B71">
        <w:rPr>
          <w:sz w:val="24"/>
          <w:szCs w:val="24"/>
          <w:vertAlign w:val="superscript"/>
          <w:lang w:val="es-ES_tradnl"/>
        </w:rPr>
        <w:t>1,2,3</w:t>
      </w:r>
      <w:r w:rsidRPr="00D31B71">
        <w:rPr>
          <w:sz w:val="24"/>
          <w:szCs w:val="24"/>
          <w:lang w:val="es-ES_tradnl"/>
        </w:rPr>
        <w:t>, Almudena Corcho</w:t>
      </w:r>
      <w:r w:rsidRPr="00D31B71">
        <w:rPr>
          <w:sz w:val="24"/>
          <w:szCs w:val="24"/>
          <w:vertAlign w:val="superscript"/>
          <w:lang w:val="es-ES_tradnl"/>
        </w:rPr>
        <w:t>1</w:t>
      </w:r>
      <w:r w:rsidRPr="00D31B71">
        <w:rPr>
          <w:sz w:val="24"/>
          <w:szCs w:val="24"/>
          <w:lang w:val="es-ES_tradnl"/>
        </w:rPr>
        <w:t>, Julia Chocarro</w:t>
      </w:r>
      <w:r w:rsidRPr="00D31B71">
        <w:rPr>
          <w:sz w:val="24"/>
          <w:szCs w:val="24"/>
          <w:vertAlign w:val="superscript"/>
          <w:lang w:val="es-ES_tradnl"/>
        </w:rPr>
        <w:t>1,2,3</w:t>
      </w:r>
      <w:r w:rsidRPr="00D31B71">
        <w:rPr>
          <w:sz w:val="24"/>
          <w:szCs w:val="24"/>
          <w:lang w:val="es-ES_tradnl"/>
        </w:rPr>
        <w:t xml:space="preserve">, </w:t>
      </w:r>
      <w:proofErr w:type="spellStart"/>
      <w:r w:rsidRPr="00D31B71">
        <w:rPr>
          <w:sz w:val="24"/>
          <w:szCs w:val="24"/>
          <w:lang w:val="es-ES_tradnl"/>
        </w:rPr>
        <w:t>Goiaz</w:t>
      </w:r>
      <w:proofErr w:type="spellEnd"/>
      <w:r w:rsidRPr="00D31B71">
        <w:rPr>
          <w:sz w:val="24"/>
          <w:szCs w:val="24"/>
          <w:lang w:val="es-ES_tradnl"/>
        </w:rPr>
        <w:t xml:space="preserve"> Ariznabarreta</w:t>
      </w:r>
      <w:r w:rsidRPr="00D31B71">
        <w:rPr>
          <w:sz w:val="24"/>
          <w:szCs w:val="24"/>
          <w:vertAlign w:val="superscript"/>
          <w:lang w:val="es-ES_tradnl"/>
        </w:rPr>
        <w:t>1,2,3</w:t>
      </w:r>
      <w:r w:rsidRPr="00D31B71">
        <w:rPr>
          <w:sz w:val="24"/>
          <w:szCs w:val="24"/>
          <w:lang w:val="es-ES_tradnl"/>
        </w:rPr>
        <w:t>, Elvira Roda</w:t>
      </w:r>
      <w:r w:rsidRPr="00D31B71">
        <w:rPr>
          <w:sz w:val="24"/>
          <w:szCs w:val="24"/>
          <w:vertAlign w:val="superscript"/>
          <w:lang w:val="es-ES_tradnl"/>
        </w:rPr>
        <w:t>1,2,3</w:t>
      </w:r>
      <w:r w:rsidRPr="00D31B71">
        <w:rPr>
          <w:sz w:val="24"/>
          <w:szCs w:val="24"/>
          <w:lang w:val="es-ES_tradnl"/>
        </w:rPr>
        <w:t>, Adriana Honrubia</w:t>
      </w:r>
      <w:r w:rsidRPr="00D31B71">
        <w:rPr>
          <w:sz w:val="24"/>
          <w:szCs w:val="24"/>
          <w:vertAlign w:val="superscript"/>
          <w:lang w:val="es-ES_tradnl"/>
        </w:rPr>
        <w:t>1,2,3</w:t>
      </w:r>
      <w:r w:rsidRPr="00D31B71">
        <w:rPr>
          <w:sz w:val="24"/>
          <w:szCs w:val="24"/>
          <w:lang w:val="es-ES_tradnl"/>
        </w:rPr>
        <w:t>, Patricia Arnaiz</w:t>
      </w:r>
      <w:r w:rsidRPr="00D31B71">
        <w:rPr>
          <w:sz w:val="24"/>
          <w:szCs w:val="24"/>
          <w:vertAlign w:val="superscript"/>
          <w:lang w:val="es-ES_tradnl"/>
        </w:rPr>
        <w:t>1,2,3</w:t>
      </w:r>
      <w:r w:rsidRPr="00D31B71">
        <w:rPr>
          <w:sz w:val="24"/>
          <w:szCs w:val="24"/>
          <w:lang w:val="es-ES_tradnl"/>
        </w:rPr>
        <w:t>, José L. Lanciego</w:t>
      </w:r>
      <w:r w:rsidRPr="00D31B71">
        <w:rPr>
          <w:sz w:val="24"/>
          <w:szCs w:val="24"/>
          <w:vertAlign w:val="superscript"/>
          <w:lang w:val="es-ES_tradnl"/>
        </w:rPr>
        <w:t>1,2,3*</w:t>
      </w:r>
    </w:p>
    <w:p w:rsidR="007E700C" w:rsidRPr="00D31B71" w:rsidRDefault="007E700C" w:rsidP="007E700C">
      <w:pPr>
        <w:jc w:val="both"/>
        <w:rPr>
          <w:sz w:val="24"/>
          <w:szCs w:val="24"/>
          <w:lang w:val="es-ES_tradnl"/>
        </w:rPr>
      </w:pPr>
    </w:p>
    <w:p w:rsidR="007E700C" w:rsidRPr="00D31B71" w:rsidRDefault="007E700C" w:rsidP="007E70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31B71">
        <w:rPr>
          <w:sz w:val="24"/>
          <w:szCs w:val="24"/>
        </w:rPr>
        <w:t>CNS Gene Therapy Department, Center for Applied Medical Research (CIMA), University of Navarra, 31008 Pamplona, Spain.</w:t>
      </w:r>
    </w:p>
    <w:p w:rsidR="007E700C" w:rsidRPr="00D31B71" w:rsidRDefault="007E700C" w:rsidP="007E700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D31B71">
        <w:rPr>
          <w:sz w:val="24"/>
          <w:szCs w:val="24"/>
          <w:lang w:val="es-ES_tradnl"/>
        </w:rPr>
        <w:t>Centro de Investigación Biomédica en Red de Enfermedades Neurodegenerativas (</w:t>
      </w:r>
      <w:proofErr w:type="spellStart"/>
      <w:r w:rsidRPr="00D31B71">
        <w:rPr>
          <w:sz w:val="24"/>
          <w:szCs w:val="24"/>
          <w:lang w:val="es-ES_tradnl"/>
        </w:rPr>
        <w:t>CiberNed</w:t>
      </w:r>
      <w:proofErr w:type="spellEnd"/>
      <w:r w:rsidRPr="00D31B71">
        <w:rPr>
          <w:sz w:val="24"/>
          <w:szCs w:val="24"/>
          <w:lang w:val="es-ES_tradnl"/>
        </w:rPr>
        <w:t xml:space="preserve">-ISCIII), 28031 Madrid, </w:t>
      </w:r>
      <w:proofErr w:type="spellStart"/>
      <w:r w:rsidRPr="00D31B71">
        <w:rPr>
          <w:sz w:val="24"/>
          <w:szCs w:val="24"/>
          <w:lang w:val="es-ES_tradnl"/>
        </w:rPr>
        <w:t>Spain</w:t>
      </w:r>
      <w:proofErr w:type="spellEnd"/>
      <w:r w:rsidRPr="00D31B71">
        <w:rPr>
          <w:sz w:val="24"/>
          <w:szCs w:val="24"/>
          <w:lang w:val="es-ES_tradnl"/>
        </w:rPr>
        <w:t>.</w:t>
      </w:r>
    </w:p>
    <w:p w:rsidR="007E700C" w:rsidRPr="00D31B71" w:rsidRDefault="007E700C" w:rsidP="007E70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Aligning Science </w:t>
      </w:r>
      <w:proofErr w:type="gramStart"/>
      <w:r w:rsidRPr="00D31B71">
        <w:rPr>
          <w:sz w:val="24"/>
          <w:szCs w:val="24"/>
        </w:rPr>
        <w:t>Across</w:t>
      </w:r>
      <w:proofErr w:type="gramEnd"/>
      <w:r w:rsidRPr="00D31B71">
        <w:rPr>
          <w:sz w:val="24"/>
          <w:szCs w:val="24"/>
        </w:rPr>
        <w:t xml:space="preserve"> Parkinson’s (ASAP) Collaborative Research Network, Chevy Chase, MD 20815, USA.</w:t>
      </w:r>
    </w:p>
    <w:p w:rsidR="007E700C" w:rsidRDefault="007E700C" w:rsidP="007E700C">
      <w:pPr>
        <w:spacing w:line="240" w:lineRule="auto"/>
        <w:jc w:val="both"/>
        <w:rPr>
          <w:sz w:val="24"/>
          <w:szCs w:val="24"/>
        </w:rPr>
      </w:pPr>
    </w:p>
    <w:p w:rsidR="007E700C" w:rsidRPr="00D31B71" w:rsidRDefault="007E700C" w:rsidP="007E700C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 </w:t>
      </w:r>
      <w:r w:rsidRPr="00D31B71">
        <w:rPr>
          <w:sz w:val="24"/>
          <w:szCs w:val="24"/>
        </w:rPr>
        <w:t>(*) Corresponding author: José L. Lanciego</w:t>
      </w:r>
    </w:p>
    <w:p w:rsidR="007E700C" w:rsidRPr="00D31B71" w:rsidRDefault="007E700C" w:rsidP="007E700C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>Senior Scientist, CNS Gene Therapy Program</w:t>
      </w:r>
    </w:p>
    <w:p w:rsidR="007E700C" w:rsidRPr="00D31B71" w:rsidRDefault="007E700C" w:rsidP="007E700C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>Center for Applied Medical Research (CIMA)</w:t>
      </w:r>
    </w:p>
    <w:p w:rsidR="007E700C" w:rsidRPr="00D31B71" w:rsidRDefault="007E700C" w:rsidP="007E700C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>University of Navarra</w:t>
      </w:r>
    </w:p>
    <w:p w:rsidR="007E700C" w:rsidRPr="00D31B71" w:rsidRDefault="007E700C" w:rsidP="007E700C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>Phone: +34 948 194 700 x 812002</w:t>
      </w:r>
    </w:p>
    <w:p w:rsidR="007E700C" w:rsidRPr="00D31B71" w:rsidRDefault="007E700C" w:rsidP="007E700C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>Fax: +34 948 194 715</w:t>
      </w:r>
    </w:p>
    <w:p w:rsidR="007E700C" w:rsidRPr="00D31B71" w:rsidRDefault="007E700C" w:rsidP="007E700C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E-Mail: </w:t>
      </w:r>
      <w:hyperlink r:id="rId5" w:history="1">
        <w:r w:rsidRPr="00D31B71">
          <w:rPr>
            <w:rStyle w:val="Hipervnculo"/>
            <w:color w:val="auto"/>
            <w:sz w:val="24"/>
            <w:szCs w:val="24"/>
          </w:rPr>
          <w:t>jlanciego@unav.es</w:t>
        </w:r>
      </w:hyperlink>
    </w:p>
    <w:p w:rsidR="00190676" w:rsidRDefault="00190676"/>
    <w:p w:rsidR="005E7A1C" w:rsidRPr="00322829" w:rsidRDefault="005E7A1C" w:rsidP="00322829">
      <w:pPr>
        <w:jc w:val="center"/>
      </w:pPr>
      <w:r w:rsidRPr="005E7A1C">
        <w:rPr>
          <w:b/>
          <w:sz w:val="28"/>
          <w:szCs w:val="28"/>
        </w:rPr>
        <w:t>PROTOCOL</w:t>
      </w:r>
    </w:p>
    <w:p w:rsidR="005E7A1C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</w:p>
    <w:p w:rsidR="005E7A1C" w:rsidRPr="00D31B71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  <w:r w:rsidRPr="00D31B71">
        <w:rPr>
          <w:b/>
          <w:i/>
          <w:sz w:val="24"/>
          <w:szCs w:val="24"/>
        </w:rPr>
        <w:t>Study design</w:t>
      </w:r>
      <w:bookmarkStart w:id="0" w:name="_GoBack"/>
      <w:bookmarkEnd w:id="0"/>
    </w:p>
    <w:p w:rsidR="005E7A1C" w:rsidRPr="00D31B71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This study </w:t>
      </w:r>
      <w:proofErr w:type="gramStart"/>
      <w:r w:rsidRPr="00D31B71">
        <w:rPr>
          <w:sz w:val="24"/>
          <w:szCs w:val="24"/>
        </w:rPr>
        <w:t>was aimed</w:t>
      </w:r>
      <w:proofErr w:type="gramEnd"/>
      <w:r w:rsidRPr="00D31B71">
        <w:rPr>
          <w:sz w:val="24"/>
          <w:szCs w:val="24"/>
        </w:rPr>
        <w:t xml:space="preserve"> to develop and characterize a NHP model of disseminated </w:t>
      </w:r>
      <w:proofErr w:type="spellStart"/>
      <w:r w:rsidRPr="00D31B71">
        <w:rPr>
          <w:sz w:val="24"/>
          <w:szCs w:val="24"/>
        </w:rPr>
        <w:t>synucleinopathy</w:t>
      </w:r>
      <w:proofErr w:type="spellEnd"/>
      <w:r w:rsidRPr="00D31B71">
        <w:rPr>
          <w:sz w:val="24"/>
          <w:szCs w:val="24"/>
        </w:rPr>
        <w:t xml:space="preserve"> mimicking the known neuropathological signatures of PDD and DLB to the best possible extent. Accordingly, we sought to determine whether the </w:t>
      </w:r>
      <w:proofErr w:type="spellStart"/>
      <w:r w:rsidRPr="00D31B71">
        <w:rPr>
          <w:sz w:val="24"/>
          <w:szCs w:val="24"/>
        </w:rPr>
        <w:t>intraputaminal</w:t>
      </w:r>
      <w:proofErr w:type="spellEnd"/>
      <w:r w:rsidRPr="00D31B71">
        <w:rPr>
          <w:sz w:val="24"/>
          <w:szCs w:val="24"/>
        </w:rPr>
        <w:t xml:space="preserve"> delivery of a </w:t>
      </w:r>
      <w:proofErr w:type="spellStart"/>
      <w:r w:rsidRPr="00D31B71">
        <w:rPr>
          <w:sz w:val="24"/>
          <w:szCs w:val="24"/>
        </w:rPr>
        <w:t>retrogradely</w:t>
      </w:r>
      <w:proofErr w:type="spellEnd"/>
      <w:r w:rsidRPr="00D31B71">
        <w:rPr>
          <w:sz w:val="24"/>
          <w:szCs w:val="24"/>
        </w:rPr>
        <w:t xml:space="preserve"> spreading AAV9 coding for mutated alpha-synuclein (AAV9-SynA53T) is able to induce a widespread </w:t>
      </w:r>
      <w:proofErr w:type="spellStart"/>
      <w:r w:rsidRPr="00D31B71">
        <w:rPr>
          <w:sz w:val="24"/>
          <w:szCs w:val="24"/>
        </w:rPr>
        <w:t>synucleinopathy</w:t>
      </w:r>
      <w:proofErr w:type="spellEnd"/>
      <w:r w:rsidRPr="00D31B71">
        <w:rPr>
          <w:sz w:val="24"/>
          <w:szCs w:val="24"/>
        </w:rPr>
        <w:t xml:space="preserve"> throughout cortical and subcortical brain areas innervating the putamen. Two adult juvenile NHPs </w:t>
      </w:r>
      <w:r w:rsidRPr="00D31B71">
        <w:rPr>
          <w:sz w:val="24"/>
          <w:szCs w:val="24"/>
        </w:rPr>
        <w:lastRenderedPageBreak/>
        <w:t>(</w:t>
      </w:r>
      <w:proofErr w:type="spellStart"/>
      <w:r w:rsidRPr="00D31B71">
        <w:rPr>
          <w:i/>
          <w:sz w:val="24"/>
          <w:szCs w:val="24"/>
        </w:rPr>
        <w:t>Macaca</w:t>
      </w:r>
      <w:proofErr w:type="spellEnd"/>
      <w:r w:rsidRPr="00D31B71">
        <w:rPr>
          <w:i/>
          <w:sz w:val="24"/>
          <w:szCs w:val="24"/>
        </w:rPr>
        <w:t xml:space="preserve"> </w:t>
      </w:r>
      <w:proofErr w:type="spellStart"/>
      <w:r w:rsidRPr="00D31B71">
        <w:rPr>
          <w:i/>
          <w:sz w:val="24"/>
          <w:szCs w:val="24"/>
        </w:rPr>
        <w:t>fascicularis</w:t>
      </w:r>
      <w:proofErr w:type="spellEnd"/>
      <w:r w:rsidRPr="00D31B71">
        <w:rPr>
          <w:sz w:val="24"/>
          <w:szCs w:val="24"/>
        </w:rPr>
        <w:t xml:space="preserve">) </w:t>
      </w:r>
      <w:proofErr w:type="gramStart"/>
      <w:r w:rsidRPr="00D31B71">
        <w:rPr>
          <w:sz w:val="24"/>
          <w:szCs w:val="24"/>
        </w:rPr>
        <w:t>were injected</w:t>
      </w:r>
      <w:proofErr w:type="gramEnd"/>
      <w:r w:rsidRPr="00D31B71">
        <w:rPr>
          <w:sz w:val="24"/>
          <w:szCs w:val="24"/>
        </w:rPr>
        <w:t xml:space="preserve"> with AAV9-SynA53T into the left putamen and sacrificed four weeks post-AAV deliveries. Upon animal sacrifices, brain tissue samples </w:t>
      </w:r>
      <w:proofErr w:type="gramStart"/>
      <w:r w:rsidRPr="00D31B71">
        <w:rPr>
          <w:sz w:val="24"/>
          <w:szCs w:val="24"/>
        </w:rPr>
        <w:t>were processed</w:t>
      </w:r>
      <w:proofErr w:type="gramEnd"/>
      <w:r w:rsidRPr="00D31B71">
        <w:rPr>
          <w:sz w:val="24"/>
          <w:szCs w:val="24"/>
        </w:rPr>
        <w:t xml:space="preserve"> for histological analysis and up to three different readouts were considered, comprising number of transduced neurons, </w:t>
      </w:r>
      <w:proofErr w:type="spellStart"/>
      <w:r w:rsidRPr="00D31B71">
        <w:rPr>
          <w:sz w:val="24"/>
          <w:szCs w:val="24"/>
        </w:rPr>
        <w:t>rostrocaudal</w:t>
      </w:r>
      <w:proofErr w:type="spellEnd"/>
      <w:r w:rsidRPr="00D31B71">
        <w:rPr>
          <w:sz w:val="24"/>
          <w:szCs w:val="24"/>
        </w:rPr>
        <w:t xml:space="preserve"> distribution and location.</w:t>
      </w:r>
    </w:p>
    <w:p w:rsidR="005E7A1C" w:rsidRPr="00D31B71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  <w:r w:rsidRPr="00D31B71">
        <w:rPr>
          <w:b/>
          <w:i/>
          <w:sz w:val="24"/>
          <w:szCs w:val="24"/>
        </w:rPr>
        <w:t>Experimental animals</w:t>
      </w:r>
    </w:p>
    <w:p w:rsidR="005E7A1C" w:rsidRPr="00D31B71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proofErr w:type="gramStart"/>
      <w:r w:rsidRPr="00D31B71">
        <w:rPr>
          <w:sz w:val="24"/>
          <w:szCs w:val="24"/>
        </w:rPr>
        <w:t>A total of two</w:t>
      </w:r>
      <w:proofErr w:type="gramEnd"/>
      <w:r w:rsidRPr="00D31B71">
        <w:rPr>
          <w:sz w:val="24"/>
          <w:szCs w:val="24"/>
        </w:rPr>
        <w:t xml:space="preserve"> adult juvenile naïve </w:t>
      </w:r>
      <w:proofErr w:type="spellStart"/>
      <w:r w:rsidRPr="00D31B71">
        <w:rPr>
          <w:i/>
          <w:sz w:val="24"/>
          <w:szCs w:val="24"/>
        </w:rPr>
        <w:t>Macaca</w:t>
      </w:r>
      <w:proofErr w:type="spellEnd"/>
      <w:r w:rsidRPr="00D31B71">
        <w:rPr>
          <w:i/>
          <w:sz w:val="24"/>
          <w:szCs w:val="24"/>
        </w:rPr>
        <w:t xml:space="preserve"> </w:t>
      </w:r>
      <w:proofErr w:type="spellStart"/>
      <w:r w:rsidRPr="00D31B71">
        <w:rPr>
          <w:i/>
          <w:sz w:val="24"/>
          <w:szCs w:val="24"/>
        </w:rPr>
        <w:t>fascicularis</w:t>
      </w:r>
      <w:proofErr w:type="spellEnd"/>
      <w:r w:rsidRPr="00D31B71">
        <w:rPr>
          <w:sz w:val="24"/>
          <w:szCs w:val="24"/>
        </w:rPr>
        <w:t xml:space="preserve"> NHPs (34 months-old; both females; body weight between 2.35 and 2.49 Kg) were used in this study. Animal handling </w:t>
      </w:r>
      <w:proofErr w:type="gramStart"/>
      <w:r w:rsidRPr="00D31B71">
        <w:rPr>
          <w:sz w:val="24"/>
          <w:szCs w:val="24"/>
        </w:rPr>
        <w:t>was conducted</w:t>
      </w:r>
      <w:proofErr w:type="gramEnd"/>
      <w:r w:rsidRPr="00D31B71">
        <w:rPr>
          <w:sz w:val="24"/>
          <w:szCs w:val="24"/>
        </w:rPr>
        <w:t xml:space="preserve"> in accordance to the European Council Directive 2010/63/UE as well as in full keeping with the Spanish legislation (RD53/2013). The experimental design was approved by the Ethical Committee for Animal Testing of the University of Navarra (ref: CEEA095/21) as well as by the Department of Animal Welfare of the Government of Navarra (ref: 222E/2021).</w:t>
      </w:r>
    </w:p>
    <w:p w:rsidR="005E7A1C" w:rsidRPr="00D31B71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  <w:r w:rsidRPr="00D31B71">
        <w:rPr>
          <w:b/>
          <w:i/>
          <w:sz w:val="24"/>
          <w:szCs w:val="24"/>
        </w:rPr>
        <w:t>Viral vector production</w:t>
      </w:r>
      <w:r w:rsidR="00C673BA">
        <w:rPr>
          <w:b/>
          <w:i/>
          <w:sz w:val="24"/>
          <w:szCs w:val="24"/>
        </w:rPr>
        <w:t xml:space="preserve"> (FIGURE 1)</w:t>
      </w:r>
    </w:p>
    <w:p w:rsidR="005E7A1C" w:rsidRPr="00D31B71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A recombinant AAV vector serotype 2/9 expressing the SNCA gene with A53T mutation driven by the human </w:t>
      </w:r>
      <w:proofErr w:type="spellStart"/>
      <w:r w:rsidRPr="00D31B71">
        <w:rPr>
          <w:sz w:val="24"/>
          <w:szCs w:val="24"/>
        </w:rPr>
        <w:t>synapsin</w:t>
      </w:r>
      <w:proofErr w:type="spellEnd"/>
      <w:r w:rsidRPr="00D31B71">
        <w:rPr>
          <w:sz w:val="24"/>
          <w:szCs w:val="24"/>
        </w:rPr>
        <w:t xml:space="preserve"> promoter was produced by Vector Builder (</w:t>
      </w:r>
      <w:hyperlink r:id="rId6" w:history="1">
        <w:r w:rsidRPr="00D31B71">
          <w:rPr>
            <w:rStyle w:val="Hipervnculo"/>
            <w:color w:val="auto"/>
            <w:sz w:val="24"/>
            <w:szCs w:val="24"/>
          </w:rPr>
          <w:t>www.vectorbuilder.com</w:t>
        </w:r>
      </w:hyperlink>
      <w:r w:rsidRPr="00D31B71">
        <w:rPr>
          <w:sz w:val="24"/>
          <w:szCs w:val="24"/>
        </w:rPr>
        <w:t xml:space="preserve">; catalog No. P211024-1010fpa; lot No. 211221AAVJ03). The virus was formulated in PBS buffer (pH 7.4) supplemented with 200 </w:t>
      </w:r>
      <w:proofErr w:type="spellStart"/>
      <w:r w:rsidRPr="00D31B71">
        <w:rPr>
          <w:sz w:val="24"/>
          <w:szCs w:val="24"/>
        </w:rPr>
        <w:t>nM</w:t>
      </w:r>
      <w:proofErr w:type="spellEnd"/>
      <w:r w:rsidRPr="00D31B71">
        <w:rPr>
          <w:sz w:val="24"/>
          <w:szCs w:val="24"/>
        </w:rPr>
        <w:t xml:space="preserve"> </w:t>
      </w:r>
      <w:proofErr w:type="spellStart"/>
      <w:r w:rsidRPr="00D31B71">
        <w:rPr>
          <w:sz w:val="24"/>
          <w:szCs w:val="24"/>
        </w:rPr>
        <w:t>NaCl</w:t>
      </w:r>
      <w:proofErr w:type="spellEnd"/>
      <w:r w:rsidRPr="00D31B71">
        <w:rPr>
          <w:sz w:val="24"/>
          <w:szCs w:val="24"/>
        </w:rPr>
        <w:t xml:space="preserve"> and 0.001% </w:t>
      </w:r>
      <w:proofErr w:type="spellStart"/>
      <w:r w:rsidRPr="00D31B71">
        <w:rPr>
          <w:sz w:val="24"/>
          <w:szCs w:val="24"/>
        </w:rPr>
        <w:t>pluronic</w:t>
      </w:r>
      <w:proofErr w:type="spellEnd"/>
      <w:r w:rsidRPr="00D31B71">
        <w:rPr>
          <w:sz w:val="24"/>
          <w:szCs w:val="24"/>
        </w:rPr>
        <w:t xml:space="preserve"> F-68. Obtained vector concentration was 9.62 x 10</w:t>
      </w:r>
      <w:r w:rsidRPr="00D31B71">
        <w:rPr>
          <w:sz w:val="24"/>
          <w:szCs w:val="24"/>
          <w:vertAlign w:val="superscript"/>
        </w:rPr>
        <w:t>13</w:t>
      </w:r>
      <w:r w:rsidRPr="00D31B71">
        <w:rPr>
          <w:sz w:val="24"/>
          <w:szCs w:val="24"/>
        </w:rPr>
        <w:t xml:space="preserve"> GC/ml. Virus purity was determined by SDS-PAGE followed by silver staining, resulting in &gt;80% pure. Plasmid map for pAAV-synapsin-SynA53T and sequence </w:t>
      </w:r>
      <w:proofErr w:type="gramStart"/>
      <w:r w:rsidRPr="00D31B71">
        <w:rPr>
          <w:sz w:val="24"/>
          <w:szCs w:val="24"/>
        </w:rPr>
        <w:t>are provided</w:t>
      </w:r>
      <w:proofErr w:type="gramEnd"/>
      <w:r w:rsidRPr="00D31B71">
        <w:rPr>
          <w:sz w:val="24"/>
          <w:szCs w:val="24"/>
        </w:rPr>
        <w:t xml:space="preserve"> in Supplementary Figure 1.</w:t>
      </w:r>
    </w:p>
    <w:p w:rsidR="005E7A1C" w:rsidRPr="00D31B71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  <w:r w:rsidRPr="00D31B71">
        <w:rPr>
          <w:b/>
          <w:i/>
          <w:sz w:val="24"/>
          <w:szCs w:val="24"/>
        </w:rPr>
        <w:t>Stereotaxic surgery for AAV deliveries</w:t>
      </w:r>
      <w:r w:rsidR="00C673BA">
        <w:rPr>
          <w:b/>
          <w:i/>
          <w:sz w:val="24"/>
          <w:szCs w:val="24"/>
        </w:rPr>
        <w:t xml:space="preserve"> (FIGURE 2)</w:t>
      </w:r>
    </w:p>
    <w:p w:rsidR="005E7A1C" w:rsidRPr="00D31B71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Surgical anesthesia </w:t>
      </w:r>
      <w:proofErr w:type="gramStart"/>
      <w:r w:rsidRPr="00D31B71">
        <w:rPr>
          <w:sz w:val="24"/>
          <w:szCs w:val="24"/>
        </w:rPr>
        <w:t>was induced</w:t>
      </w:r>
      <w:proofErr w:type="gramEnd"/>
      <w:r w:rsidRPr="00D31B71">
        <w:rPr>
          <w:sz w:val="24"/>
          <w:szCs w:val="24"/>
        </w:rPr>
        <w:t xml:space="preserve"> by intramuscular injection of ketamine (5 mg/Kg) and midazolam (0.5 mg/Kg). Local anesthesia </w:t>
      </w:r>
      <w:proofErr w:type="gramStart"/>
      <w:r w:rsidRPr="00D31B71">
        <w:rPr>
          <w:sz w:val="24"/>
          <w:szCs w:val="24"/>
        </w:rPr>
        <w:t>was implemented</w:t>
      </w:r>
      <w:proofErr w:type="gramEnd"/>
      <w:r w:rsidRPr="00D31B71">
        <w:rPr>
          <w:sz w:val="24"/>
          <w:szCs w:val="24"/>
        </w:rPr>
        <w:t xml:space="preserve"> just before the surgery with a 10% solution of lidocaine. Analgesia was achieved with a single intramuscular injection of </w:t>
      </w:r>
      <w:proofErr w:type="spellStart"/>
      <w:r w:rsidRPr="00D31B71">
        <w:rPr>
          <w:sz w:val="24"/>
          <w:szCs w:val="24"/>
        </w:rPr>
        <w:t>flunixin</w:t>
      </w:r>
      <w:proofErr w:type="spellEnd"/>
      <w:r w:rsidRPr="00D31B71">
        <w:rPr>
          <w:sz w:val="24"/>
          <w:szCs w:val="24"/>
        </w:rPr>
        <w:t xml:space="preserve"> </w:t>
      </w:r>
      <w:proofErr w:type="spellStart"/>
      <w:r w:rsidRPr="00D31B71">
        <w:rPr>
          <w:sz w:val="24"/>
          <w:szCs w:val="24"/>
        </w:rPr>
        <w:t>meglumine</w:t>
      </w:r>
      <w:proofErr w:type="spellEnd"/>
      <w:r w:rsidRPr="00D31B71">
        <w:rPr>
          <w:sz w:val="24"/>
          <w:szCs w:val="24"/>
        </w:rPr>
        <w:t xml:space="preserve"> (</w:t>
      </w:r>
      <w:proofErr w:type="spellStart"/>
      <w:r w:rsidRPr="00D31B71">
        <w:rPr>
          <w:sz w:val="24"/>
          <w:szCs w:val="24"/>
        </w:rPr>
        <w:t>Finadyne</w:t>
      </w:r>
      <w:proofErr w:type="spellEnd"/>
      <w:r w:rsidRPr="00D31B71">
        <w:rPr>
          <w:sz w:val="24"/>
          <w:szCs w:val="24"/>
        </w:rPr>
        <w:t xml:space="preserve">®, 5 mg/Kg) delivered at the end of the surgical procedure and repeated 24 and 48 h post-surgery. A similar schedule </w:t>
      </w:r>
      <w:proofErr w:type="gramStart"/>
      <w:r w:rsidRPr="00D31B71">
        <w:rPr>
          <w:sz w:val="24"/>
          <w:szCs w:val="24"/>
        </w:rPr>
        <w:t>was conducted</w:t>
      </w:r>
      <w:proofErr w:type="gramEnd"/>
      <w:r w:rsidRPr="00D31B71">
        <w:rPr>
          <w:sz w:val="24"/>
          <w:szCs w:val="24"/>
        </w:rPr>
        <w:t xml:space="preserve"> for antibiotic coverage (ampicillin, 0.5 ml/day). After surgery, animals </w:t>
      </w:r>
      <w:proofErr w:type="gramStart"/>
      <w:r w:rsidRPr="00D31B71">
        <w:rPr>
          <w:sz w:val="24"/>
          <w:szCs w:val="24"/>
        </w:rPr>
        <w:t>were kept</w:t>
      </w:r>
      <w:proofErr w:type="gramEnd"/>
      <w:r w:rsidRPr="00D31B71">
        <w:rPr>
          <w:sz w:val="24"/>
          <w:szCs w:val="24"/>
        </w:rPr>
        <w:t xml:space="preserve"> under constant monitoring in individual cages with ad libitum access to food and water. Once </w:t>
      </w:r>
      <w:r w:rsidRPr="00D31B71">
        <w:rPr>
          <w:sz w:val="24"/>
          <w:szCs w:val="24"/>
        </w:rPr>
        <w:lastRenderedPageBreak/>
        <w:t xml:space="preserve">animals showed a complete post-surgical recovery (24 h), they </w:t>
      </w:r>
      <w:proofErr w:type="gramStart"/>
      <w:r w:rsidRPr="00D31B71">
        <w:rPr>
          <w:sz w:val="24"/>
          <w:szCs w:val="24"/>
        </w:rPr>
        <w:t>were returned to the animal vivarium and housed in groups</w:t>
      </w:r>
      <w:proofErr w:type="gramEnd"/>
      <w:r w:rsidRPr="00D31B71">
        <w:rPr>
          <w:sz w:val="24"/>
          <w:szCs w:val="24"/>
        </w:rPr>
        <w:t>.</w:t>
      </w:r>
    </w:p>
    <w:p w:rsidR="005E7A1C" w:rsidRPr="00D31B71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Stereotaxic coordinates for AAV deliveries into the left putamen </w:t>
      </w:r>
      <w:proofErr w:type="gramStart"/>
      <w:r w:rsidRPr="00D31B71">
        <w:rPr>
          <w:sz w:val="24"/>
          <w:szCs w:val="24"/>
        </w:rPr>
        <w:t>were calculated</w:t>
      </w:r>
      <w:proofErr w:type="gramEnd"/>
      <w:r w:rsidRPr="00D31B71">
        <w:rPr>
          <w:sz w:val="24"/>
          <w:szCs w:val="24"/>
        </w:rPr>
        <w:t xml:space="preserve"> from the atlas of Lanciego and Vázquez (2012). During surgery, target selection </w:t>
      </w:r>
      <w:proofErr w:type="gramStart"/>
      <w:r w:rsidRPr="00D31B71">
        <w:rPr>
          <w:sz w:val="24"/>
          <w:szCs w:val="24"/>
        </w:rPr>
        <w:t>was assisted</w:t>
      </w:r>
      <w:proofErr w:type="gramEnd"/>
      <w:r w:rsidRPr="00D31B71">
        <w:rPr>
          <w:sz w:val="24"/>
          <w:szCs w:val="24"/>
        </w:rPr>
        <w:t xml:space="preserve"> by </w:t>
      </w:r>
      <w:proofErr w:type="spellStart"/>
      <w:r w:rsidRPr="00D31B71">
        <w:rPr>
          <w:sz w:val="24"/>
          <w:szCs w:val="24"/>
        </w:rPr>
        <w:t>ventriculography</w:t>
      </w:r>
      <w:proofErr w:type="spellEnd"/>
      <w:r w:rsidRPr="00D31B71">
        <w:rPr>
          <w:sz w:val="24"/>
          <w:szCs w:val="24"/>
        </w:rPr>
        <w:t xml:space="preserve">. Pressure deliveries of AAVs were made through a Hamilton® syringe in pulses of </w:t>
      </w:r>
      <w:proofErr w:type="gramStart"/>
      <w:r w:rsidRPr="00D31B71">
        <w:rPr>
          <w:sz w:val="24"/>
          <w:szCs w:val="24"/>
        </w:rPr>
        <w:t>5</w:t>
      </w:r>
      <w:proofErr w:type="gramEnd"/>
      <w:r w:rsidRPr="00D31B71">
        <w:rPr>
          <w:sz w:val="24"/>
          <w:szCs w:val="24"/>
        </w:rPr>
        <w:t xml:space="preserve"> </w:t>
      </w:r>
      <w:r w:rsidRPr="00D31B71">
        <w:rPr>
          <w:rFonts w:ascii="Symbol" w:hAnsi="Symbol"/>
          <w:sz w:val="24"/>
          <w:szCs w:val="24"/>
        </w:rPr>
        <w:t></w:t>
      </w:r>
      <w:r w:rsidRPr="00D31B71">
        <w:rPr>
          <w:sz w:val="24"/>
          <w:szCs w:val="24"/>
        </w:rPr>
        <w:t xml:space="preserve">l/min for a total volume of 25 </w:t>
      </w:r>
      <w:r w:rsidRPr="00D31B71">
        <w:rPr>
          <w:rFonts w:ascii="Symbol" w:hAnsi="Symbol"/>
          <w:sz w:val="24"/>
          <w:szCs w:val="24"/>
        </w:rPr>
        <w:t></w:t>
      </w:r>
      <w:r w:rsidRPr="00D31B71">
        <w:rPr>
          <w:sz w:val="24"/>
          <w:szCs w:val="24"/>
        </w:rPr>
        <w:t xml:space="preserve">l each into three sites in the left putamen, each deposit spaced 1 mm in the </w:t>
      </w:r>
      <w:proofErr w:type="spellStart"/>
      <w:r w:rsidRPr="00D31B71">
        <w:rPr>
          <w:sz w:val="24"/>
          <w:szCs w:val="24"/>
        </w:rPr>
        <w:t>rostrocaudal</w:t>
      </w:r>
      <w:proofErr w:type="spellEnd"/>
      <w:r w:rsidRPr="00D31B71">
        <w:rPr>
          <w:sz w:val="24"/>
          <w:szCs w:val="24"/>
        </w:rPr>
        <w:t xml:space="preserve"> direction to obtain the highest possible transduction extent of the putamen. Once injections were completed, the needle </w:t>
      </w:r>
      <w:proofErr w:type="gramStart"/>
      <w:r w:rsidRPr="00D31B71">
        <w:rPr>
          <w:sz w:val="24"/>
          <w:szCs w:val="24"/>
        </w:rPr>
        <w:t>was left</w:t>
      </w:r>
      <w:proofErr w:type="gramEnd"/>
      <w:r w:rsidRPr="00D31B71">
        <w:rPr>
          <w:sz w:val="24"/>
          <w:szCs w:val="24"/>
        </w:rPr>
        <w:t xml:space="preserve"> in place for an additional time of 10 min before withdrawal to minimize AAV reflux through the injection tract. Coordinates for the more rostral deposits in the left putamen of AAV9-SynA53T were 1 mm rostral to the anterior commissure (ac), 1 mm dorsal to the bi-commissural plane (ac-pc plane) and 11 mm lateral to the midline. Second deposits were performed at the ac level (ac = 0 mm), 1 mm dorsal to the ac-pc plane and 11.5 mm lateral to the midline, whereas the more caudal injections were conducted 1 mm caudal to ac, 1.5 mm dorsal to the ac-pc plane and 12.5 mm lateral to the midline.</w:t>
      </w:r>
    </w:p>
    <w:p w:rsidR="005E7A1C" w:rsidRPr="00D31B71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  <w:r w:rsidRPr="00D31B71">
        <w:rPr>
          <w:b/>
          <w:i/>
          <w:sz w:val="24"/>
          <w:szCs w:val="24"/>
        </w:rPr>
        <w:t>Necropsy, tissue processing and data analysis</w:t>
      </w:r>
    </w:p>
    <w:p w:rsidR="005E7A1C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Anesthesia was firstly induced with an intramuscular injection of ketamine (10 mg/Kg), followed by a terminal overdose of sodium pentobarbital (200 mg/Kg) and perfused </w:t>
      </w:r>
      <w:proofErr w:type="spellStart"/>
      <w:r w:rsidRPr="00D31B71">
        <w:rPr>
          <w:sz w:val="24"/>
          <w:szCs w:val="24"/>
        </w:rPr>
        <w:t>transcardially</w:t>
      </w:r>
      <w:proofErr w:type="spellEnd"/>
      <w:r w:rsidRPr="00D31B71">
        <w:rPr>
          <w:sz w:val="24"/>
          <w:szCs w:val="24"/>
        </w:rPr>
        <w:t xml:space="preserve"> with an infusion pump. Both animals (MF04 and MF05) were sacrificed four weeks post-AAV deliveries. The </w:t>
      </w:r>
      <w:proofErr w:type="spellStart"/>
      <w:r w:rsidRPr="00D31B71">
        <w:rPr>
          <w:sz w:val="24"/>
          <w:szCs w:val="24"/>
        </w:rPr>
        <w:t>perfusates</w:t>
      </w:r>
      <w:proofErr w:type="spellEnd"/>
      <w:r w:rsidRPr="00D31B71">
        <w:rPr>
          <w:sz w:val="24"/>
          <w:szCs w:val="24"/>
        </w:rPr>
        <w:t xml:space="preserve"> consisted of a saline Ringer solution followed by 3,000 ml of a fixative solution made of 4% paraformaldehyde and 0.1% glutaraldehyde in 0.125 M phosphate buffer (PB) pH 7.4. Perfusion </w:t>
      </w:r>
      <w:proofErr w:type="gramStart"/>
      <w:r w:rsidRPr="00D31B71">
        <w:rPr>
          <w:sz w:val="24"/>
          <w:szCs w:val="24"/>
        </w:rPr>
        <w:t>was continued</w:t>
      </w:r>
      <w:proofErr w:type="gramEnd"/>
      <w:r w:rsidRPr="00D31B71">
        <w:rPr>
          <w:sz w:val="24"/>
          <w:szCs w:val="24"/>
        </w:rPr>
        <w:t xml:space="preserve"> with 1,000 ml of a </w:t>
      </w:r>
      <w:proofErr w:type="spellStart"/>
      <w:r w:rsidRPr="00D31B71">
        <w:rPr>
          <w:sz w:val="24"/>
          <w:szCs w:val="24"/>
        </w:rPr>
        <w:t>cryoprotectant</w:t>
      </w:r>
      <w:proofErr w:type="spellEnd"/>
      <w:r w:rsidRPr="00D31B71">
        <w:rPr>
          <w:sz w:val="24"/>
          <w:szCs w:val="24"/>
        </w:rPr>
        <w:t xml:space="preserve"> solution containing 10% </w:t>
      </w:r>
      <w:proofErr w:type="spellStart"/>
      <w:r w:rsidRPr="00D31B71">
        <w:rPr>
          <w:sz w:val="24"/>
          <w:szCs w:val="24"/>
        </w:rPr>
        <w:t>glycerine</w:t>
      </w:r>
      <w:proofErr w:type="spellEnd"/>
      <w:r w:rsidRPr="00D31B71">
        <w:rPr>
          <w:sz w:val="24"/>
          <w:szCs w:val="24"/>
        </w:rPr>
        <w:t xml:space="preserve"> and 1% </w:t>
      </w:r>
      <w:proofErr w:type="spellStart"/>
      <w:r w:rsidRPr="00D31B71">
        <w:rPr>
          <w:sz w:val="24"/>
          <w:szCs w:val="24"/>
        </w:rPr>
        <w:t>dimethylsulphoxide</w:t>
      </w:r>
      <w:proofErr w:type="spellEnd"/>
      <w:r w:rsidRPr="00D31B71">
        <w:rPr>
          <w:sz w:val="24"/>
          <w:szCs w:val="24"/>
        </w:rPr>
        <w:t xml:space="preserve"> (DMSO) in 0.125 M PB pH 7.4. Once perfusion was completed, the skull </w:t>
      </w:r>
      <w:proofErr w:type="gramStart"/>
      <w:r w:rsidRPr="00D31B71">
        <w:rPr>
          <w:sz w:val="24"/>
          <w:szCs w:val="24"/>
        </w:rPr>
        <w:t>was opened</w:t>
      </w:r>
      <w:proofErr w:type="gramEnd"/>
      <w:r w:rsidRPr="00D31B71">
        <w:rPr>
          <w:sz w:val="24"/>
          <w:szCs w:val="24"/>
        </w:rPr>
        <w:t xml:space="preserve"> and the brain removed and stored for 48 h in a </w:t>
      </w:r>
      <w:proofErr w:type="spellStart"/>
      <w:r w:rsidRPr="00D31B71">
        <w:rPr>
          <w:sz w:val="24"/>
          <w:szCs w:val="24"/>
        </w:rPr>
        <w:t>cryoprotectant</w:t>
      </w:r>
      <w:proofErr w:type="spellEnd"/>
      <w:r w:rsidRPr="00D31B71">
        <w:rPr>
          <w:sz w:val="24"/>
          <w:szCs w:val="24"/>
        </w:rPr>
        <w:t xml:space="preserve"> solution containing 20% glycerin and 2% DMSO in 0.125 M PB pH 7.4. Next, frozen coronal sections (40 </w:t>
      </w:r>
      <w:r w:rsidRPr="00D31B71">
        <w:rPr>
          <w:rFonts w:ascii="Symbol" w:hAnsi="Symbol"/>
          <w:sz w:val="24"/>
          <w:szCs w:val="24"/>
        </w:rPr>
        <w:t></w:t>
      </w:r>
      <w:r w:rsidRPr="00D31B71">
        <w:rPr>
          <w:sz w:val="24"/>
          <w:szCs w:val="24"/>
        </w:rPr>
        <w:t xml:space="preserve">m-thick) </w:t>
      </w:r>
      <w:proofErr w:type="gramStart"/>
      <w:r w:rsidRPr="00D31B71">
        <w:rPr>
          <w:sz w:val="24"/>
          <w:szCs w:val="24"/>
        </w:rPr>
        <w:t>were obtained on a sliding microtome and collected in 0.125 M PB pH 7.4 as 10 series of adjacent sections</w:t>
      </w:r>
      <w:proofErr w:type="gramEnd"/>
      <w:r w:rsidRPr="00D31B71">
        <w:rPr>
          <w:sz w:val="24"/>
          <w:szCs w:val="24"/>
        </w:rPr>
        <w:t xml:space="preserve">. These series </w:t>
      </w:r>
      <w:proofErr w:type="gramStart"/>
      <w:r w:rsidRPr="00D31B71">
        <w:rPr>
          <w:sz w:val="24"/>
          <w:szCs w:val="24"/>
        </w:rPr>
        <w:t>were used</w:t>
      </w:r>
      <w:proofErr w:type="gramEnd"/>
      <w:r w:rsidRPr="00D31B71">
        <w:rPr>
          <w:sz w:val="24"/>
          <w:szCs w:val="24"/>
        </w:rPr>
        <w:t xml:space="preserve"> for (1) </w:t>
      </w:r>
      <w:proofErr w:type="spellStart"/>
      <w:r w:rsidRPr="00D31B71">
        <w:rPr>
          <w:sz w:val="24"/>
          <w:szCs w:val="24"/>
        </w:rPr>
        <w:t>immunoperoxidase</w:t>
      </w:r>
      <w:proofErr w:type="spellEnd"/>
      <w:r w:rsidRPr="00D31B71">
        <w:rPr>
          <w:sz w:val="24"/>
          <w:szCs w:val="24"/>
        </w:rPr>
        <w:t xml:space="preserve"> detection of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, (2) </w:t>
      </w:r>
      <w:proofErr w:type="spellStart"/>
      <w:r w:rsidRPr="00D31B71">
        <w:rPr>
          <w:sz w:val="24"/>
          <w:szCs w:val="24"/>
        </w:rPr>
        <w:t>immunoperoxidase</w:t>
      </w:r>
      <w:proofErr w:type="spellEnd"/>
      <w:r w:rsidRPr="00D31B71">
        <w:rPr>
          <w:sz w:val="24"/>
          <w:szCs w:val="24"/>
        </w:rPr>
        <w:t xml:space="preserve"> detection of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 counterstained with toluidine blue (Nissl stain), (3) </w:t>
      </w:r>
      <w:proofErr w:type="spellStart"/>
      <w:r w:rsidRPr="00D31B71">
        <w:rPr>
          <w:sz w:val="24"/>
          <w:szCs w:val="24"/>
        </w:rPr>
        <w:t>immunoperoxidase</w:t>
      </w:r>
      <w:proofErr w:type="spellEnd"/>
      <w:r w:rsidRPr="00D31B71">
        <w:rPr>
          <w:sz w:val="24"/>
          <w:szCs w:val="24"/>
        </w:rPr>
        <w:t xml:space="preserve"> detection of </w:t>
      </w:r>
      <w:r w:rsidRPr="00D31B71">
        <w:rPr>
          <w:sz w:val="24"/>
          <w:szCs w:val="24"/>
        </w:rPr>
        <w:lastRenderedPageBreak/>
        <w:t xml:space="preserve">tyrosine hydroxylase (TH), and (4) </w:t>
      </w:r>
      <w:proofErr w:type="spellStart"/>
      <w:r w:rsidRPr="00D31B71">
        <w:rPr>
          <w:sz w:val="24"/>
          <w:szCs w:val="24"/>
        </w:rPr>
        <w:t>immunoperoxidase</w:t>
      </w:r>
      <w:proofErr w:type="spellEnd"/>
      <w:r w:rsidRPr="00D31B71">
        <w:rPr>
          <w:sz w:val="24"/>
          <w:szCs w:val="24"/>
        </w:rPr>
        <w:t xml:space="preserve"> detection of TH counterstained with toluidine blue. The remaining </w:t>
      </w:r>
      <w:proofErr w:type="gramStart"/>
      <w:r w:rsidRPr="00D31B71">
        <w:rPr>
          <w:sz w:val="24"/>
          <w:szCs w:val="24"/>
        </w:rPr>
        <w:t>6</w:t>
      </w:r>
      <w:proofErr w:type="gramEnd"/>
      <w:r w:rsidRPr="00D31B71">
        <w:rPr>
          <w:sz w:val="24"/>
          <w:szCs w:val="24"/>
        </w:rPr>
        <w:t xml:space="preserve"> series of sections were stored at -80 </w:t>
      </w:r>
      <w:proofErr w:type="spellStart"/>
      <w:r w:rsidRPr="00D31B71">
        <w:rPr>
          <w:sz w:val="24"/>
          <w:szCs w:val="24"/>
          <w:vertAlign w:val="superscript"/>
        </w:rPr>
        <w:t>o</w:t>
      </w:r>
      <w:r w:rsidRPr="00D31B71">
        <w:rPr>
          <w:sz w:val="24"/>
          <w:szCs w:val="24"/>
        </w:rPr>
        <w:t>C</w:t>
      </w:r>
      <w:proofErr w:type="spellEnd"/>
      <w:r w:rsidRPr="00D31B71">
        <w:rPr>
          <w:sz w:val="24"/>
          <w:szCs w:val="24"/>
        </w:rPr>
        <w:t xml:space="preserve"> cryopreserved in 20% glycerin and 2% DMSO until further use, if needed. A completed list of primary and bridge antisera (secondary biotinylated antisera), together with incubation concentrations, incubation times and commercial sources is provided below in Table 1.</w:t>
      </w:r>
    </w:p>
    <w:p w:rsidR="00C673BA" w:rsidRPr="00D31B71" w:rsidRDefault="00C673BA" w:rsidP="005E7A1C">
      <w:pPr>
        <w:spacing w:line="360" w:lineRule="auto"/>
        <w:ind w:firstLine="284"/>
        <w:jc w:val="both"/>
        <w:rPr>
          <w:sz w:val="24"/>
          <w:szCs w:val="24"/>
        </w:rPr>
      </w:pPr>
    </w:p>
    <w:p w:rsidR="00C673BA" w:rsidRDefault="00C673BA" w:rsidP="00C673BA">
      <w:pPr>
        <w:rPr>
          <w:b/>
        </w:rPr>
      </w:pPr>
      <w:r>
        <w:rPr>
          <w:b/>
        </w:rPr>
        <w:t xml:space="preserve">Table 1: </w:t>
      </w:r>
      <w:r w:rsidRPr="00B00642">
        <w:rPr>
          <w:b/>
        </w:rPr>
        <w:t>List of reagents</w:t>
      </w:r>
    </w:p>
    <w:p w:rsidR="00C673BA" w:rsidRDefault="00C673BA" w:rsidP="00C673BA">
      <w:pPr>
        <w:rPr>
          <w:b/>
        </w:rPr>
      </w:pPr>
    </w:p>
    <w:tbl>
      <w:tblPr>
        <w:tblW w:w="808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1559"/>
        <w:gridCol w:w="850"/>
        <w:gridCol w:w="1418"/>
        <w:gridCol w:w="993"/>
      </w:tblGrid>
      <w:tr w:rsidR="00C673BA" w:rsidRPr="00C673BA" w:rsidTr="00C673BA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CONCENTRATION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INCUBATION TIME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SOURCE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IDENTIFIER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RRID</w:t>
            </w:r>
          </w:p>
        </w:tc>
      </w:tr>
      <w:tr w:rsidR="00C673BA" w:rsidRPr="00C673BA" w:rsidTr="00C673BA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Viral vectors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</w:p>
        </w:tc>
      </w:tr>
      <w:tr w:rsidR="00C673BA" w:rsidRPr="00C673BA" w:rsidTr="00C673BA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(</w:t>
            </w:r>
            <w:proofErr w:type="spellStart"/>
            <w:r w:rsidRPr="00C673BA">
              <w:rPr>
                <w:rFonts w:eastAsia="Arial" w:cstheme="minorHAnsi"/>
                <w:sz w:val="12"/>
                <w:szCs w:val="12"/>
              </w:rPr>
              <w:t>synapsin</w:t>
            </w:r>
            <w:proofErr w:type="spellEnd"/>
            <w:r w:rsidRPr="00C673BA">
              <w:rPr>
                <w:rFonts w:eastAsia="Arial" w:cstheme="minorHAnsi"/>
                <w:sz w:val="12"/>
                <w:szCs w:val="12"/>
              </w:rPr>
              <w:t>)AAV9-SynA53T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9.62 x 10</w:t>
            </w:r>
            <w:r w:rsidRPr="00C673BA">
              <w:rPr>
                <w:rFonts w:eastAsia="Arial" w:cstheme="minorHAnsi"/>
                <w:sz w:val="12"/>
                <w:szCs w:val="12"/>
                <w:vertAlign w:val="superscript"/>
              </w:rPr>
              <w:t>13</w:t>
            </w:r>
            <w:r w:rsidRPr="00C673BA">
              <w:rPr>
                <w:rFonts w:eastAsia="Arial" w:cstheme="minorHAnsi"/>
                <w:sz w:val="12"/>
                <w:szCs w:val="12"/>
              </w:rPr>
              <w:t xml:space="preserve"> GC/ml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171"/>
              <w:rPr>
                <w:rFonts w:eastAsia="Arial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Vector Builder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cstheme="minorHAnsi"/>
                <w:sz w:val="12"/>
                <w:szCs w:val="12"/>
              </w:rPr>
              <w:t>P211024-1010fpa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</w:p>
        </w:tc>
      </w:tr>
      <w:tr w:rsidR="00C673BA" w:rsidRPr="00C673BA" w:rsidTr="00C673BA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Antibodies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171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</w:p>
        </w:tc>
      </w:tr>
      <w:tr w:rsidR="00C673BA" w:rsidRPr="00C673BA" w:rsidTr="00C673BA"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 xml:space="preserve">Goat anti-Tyrosine </w:t>
            </w:r>
            <w:proofErr w:type="spellStart"/>
            <w:r w:rsidRPr="00C673BA">
              <w:rPr>
                <w:rFonts w:eastAsia="Arial" w:cstheme="minorHAnsi"/>
                <w:sz w:val="12"/>
                <w:szCs w:val="12"/>
              </w:rPr>
              <w:t>Hydrox</w:t>
            </w:r>
            <w:proofErr w:type="spellEnd"/>
            <w:r w:rsidRPr="00C673BA">
              <w:rPr>
                <w:rFonts w:eastAsia="Arial" w:cstheme="minorHAnsi"/>
                <w:sz w:val="12"/>
                <w:szCs w:val="12"/>
              </w:rPr>
              <w:t>. (polyclonal)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1:500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Overnight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 xml:space="preserve">My </w:t>
            </w:r>
            <w:proofErr w:type="spellStart"/>
            <w:r w:rsidRPr="00C673BA">
              <w:rPr>
                <w:rFonts w:eastAsia="Arial" w:cstheme="minorHAnsi"/>
                <w:sz w:val="12"/>
                <w:szCs w:val="12"/>
              </w:rPr>
              <w:t>Biosource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Cat# MBS421729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N.A.</w:t>
            </w:r>
          </w:p>
        </w:tc>
      </w:tr>
      <w:tr w:rsidR="00C673BA" w:rsidRPr="00C673BA" w:rsidTr="00C673B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Mouse anti-</w:t>
            </w:r>
            <w:r w:rsidRPr="00C673BA">
              <w:rPr>
                <w:rFonts w:eastAsia="Arial" w:cstheme="minorHAnsi"/>
                <w:sz w:val="12"/>
                <w:szCs w:val="12"/>
              </w:rPr>
              <w:t>-synuclein (monoclonal)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1:40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Overnight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Leica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Cat# NCL-L-ASYN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AB_442103</w:t>
            </w:r>
          </w:p>
        </w:tc>
      </w:tr>
      <w:tr w:rsidR="00C673BA" w:rsidRPr="00C673BA" w:rsidTr="00C673B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Donkey anti-Goat (Biotin-SP)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1:600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120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Jackson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Cat# 705-065-147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AB_2340397</w:t>
            </w:r>
          </w:p>
        </w:tc>
      </w:tr>
      <w:tr w:rsidR="00C673BA" w:rsidRPr="00C673BA" w:rsidTr="00C673B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Donkey anti-Mouse (Biotin-SP)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1:600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120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Jackson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Cat# 715-066-150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AB_2340787</w:t>
            </w:r>
          </w:p>
        </w:tc>
      </w:tr>
      <w:tr w:rsidR="00C673BA" w:rsidRPr="00C673BA" w:rsidTr="00C673BA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b/>
                <w:sz w:val="12"/>
                <w:szCs w:val="12"/>
              </w:rPr>
            </w:pPr>
            <w:r w:rsidRPr="00C673BA">
              <w:rPr>
                <w:rFonts w:eastAsia="Arial" w:cstheme="minorHAnsi"/>
                <w:b/>
                <w:sz w:val="12"/>
                <w:szCs w:val="12"/>
              </w:rPr>
              <w:t>Commercial assays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b/>
                <w:sz w:val="12"/>
                <w:szCs w:val="12"/>
              </w:rPr>
            </w:pPr>
          </w:p>
        </w:tc>
      </w:tr>
      <w:tr w:rsidR="00C673BA" w:rsidRPr="00C673BA" w:rsidTr="00C673BA"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ABC kit standard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60 min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Vector Labs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Cat# PK4000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</w:p>
        </w:tc>
      </w:tr>
      <w:tr w:rsidR="00C673BA" w:rsidRPr="00C673BA" w:rsidTr="00C673BA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Toluidine blue (Nissl stain)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0.25%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171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2 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10"/>
              <w:jc w:val="center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Sigma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  <w:r w:rsidRPr="00C673BA">
              <w:rPr>
                <w:rFonts w:eastAsia="Arial" w:cstheme="minorHAnsi"/>
                <w:sz w:val="12"/>
                <w:szCs w:val="12"/>
              </w:rPr>
              <w:t>Cat# 88930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3BA" w:rsidRPr="00C673BA" w:rsidRDefault="00C673BA" w:rsidP="00C673BA">
            <w:pPr>
              <w:spacing w:line="240" w:lineRule="auto"/>
              <w:ind w:left="-105" w:right="-109"/>
              <w:rPr>
                <w:rFonts w:eastAsia="Arial" w:cstheme="minorHAnsi"/>
                <w:sz w:val="12"/>
                <w:szCs w:val="12"/>
              </w:rPr>
            </w:pPr>
          </w:p>
        </w:tc>
      </w:tr>
    </w:tbl>
    <w:p w:rsidR="00C673BA" w:rsidRDefault="00C673BA" w:rsidP="005E7A1C">
      <w:pPr>
        <w:spacing w:line="360" w:lineRule="auto"/>
        <w:jc w:val="both"/>
        <w:rPr>
          <w:b/>
          <w:i/>
          <w:sz w:val="24"/>
          <w:szCs w:val="24"/>
        </w:rPr>
      </w:pPr>
    </w:p>
    <w:p w:rsidR="00C85E06" w:rsidRDefault="00C85E06" w:rsidP="005E7A1C">
      <w:pPr>
        <w:spacing w:line="360" w:lineRule="auto"/>
        <w:jc w:val="both"/>
        <w:rPr>
          <w:b/>
          <w:i/>
          <w:sz w:val="24"/>
          <w:szCs w:val="24"/>
        </w:rPr>
      </w:pPr>
    </w:p>
    <w:p w:rsidR="005E7A1C" w:rsidRPr="00D31B71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  <w:r w:rsidRPr="00D31B71">
        <w:rPr>
          <w:b/>
          <w:i/>
          <w:sz w:val="24"/>
          <w:szCs w:val="24"/>
        </w:rPr>
        <w:t>Quantification of neurons expressing a-</w:t>
      </w:r>
      <w:proofErr w:type="spellStart"/>
      <w:r w:rsidRPr="00D31B71">
        <w:rPr>
          <w:b/>
          <w:i/>
          <w:sz w:val="24"/>
          <w:szCs w:val="24"/>
        </w:rPr>
        <w:t>Syn</w:t>
      </w:r>
      <w:proofErr w:type="spellEnd"/>
      <w:r w:rsidR="00C673BA">
        <w:rPr>
          <w:b/>
          <w:i/>
          <w:sz w:val="24"/>
          <w:szCs w:val="24"/>
        </w:rPr>
        <w:t xml:space="preserve"> (FIGURE 3)</w:t>
      </w:r>
    </w:p>
    <w:p w:rsidR="005E7A1C" w:rsidRPr="00D31B71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Every tenth section </w:t>
      </w:r>
      <w:proofErr w:type="gramStart"/>
      <w:r w:rsidRPr="00D31B71">
        <w:rPr>
          <w:sz w:val="24"/>
          <w:szCs w:val="24"/>
        </w:rPr>
        <w:t xml:space="preserve">was processed for the </w:t>
      </w:r>
      <w:proofErr w:type="spellStart"/>
      <w:r w:rsidRPr="00D31B71">
        <w:rPr>
          <w:sz w:val="24"/>
          <w:szCs w:val="24"/>
        </w:rPr>
        <w:t>immunoperoxidase</w:t>
      </w:r>
      <w:proofErr w:type="spellEnd"/>
      <w:r w:rsidRPr="00D31B71">
        <w:rPr>
          <w:sz w:val="24"/>
          <w:szCs w:val="24"/>
        </w:rPr>
        <w:t xml:space="preserve"> detection of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 and used for estimating the number of transduced neurons with AAV9-SynA53T</w:t>
      </w:r>
      <w:proofErr w:type="gramEnd"/>
      <w:r w:rsidRPr="00D31B71">
        <w:rPr>
          <w:sz w:val="24"/>
          <w:szCs w:val="24"/>
        </w:rPr>
        <w:t xml:space="preserve">. For this purpose, a deep-learning dedicated algorithm was prepared with </w:t>
      </w:r>
      <w:proofErr w:type="spellStart"/>
      <w:r w:rsidRPr="00D31B71">
        <w:rPr>
          <w:sz w:val="24"/>
          <w:szCs w:val="24"/>
        </w:rPr>
        <w:t>Aiforia</w:t>
      </w:r>
      <w:proofErr w:type="spellEnd"/>
      <w:r w:rsidRPr="00D31B71">
        <w:rPr>
          <w:sz w:val="24"/>
          <w:szCs w:val="24"/>
        </w:rPr>
        <w:t>® (</w:t>
      </w:r>
      <w:proofErr w:type="spellStart"/>
      <w:r w:rsidRPr="00D31B71">
        <w:rPr>
          <w:sz w:val="24"/>
          <w:szCs w:val="24"/>
        </w:rPr>
        <w:t>Penttinen</w:t>
      </w:r>
      <w:proofErr w:type="spellEnd"/>
      <w:r w:rsidRPr="00D31B71">
        <w:rPr>
          <w:sz w:val="24"/>
          <w:szCs w:val="24"/>
        </w:rPr>
        <w:t xml:space="preserve"> et al., 2018), validated and released (resulting in an error of 1.67% for quantifying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+ neurons). Sixty-nine equally spaced coronal sections covering the range of ac +10 mm to ac -14 mm were sampled per animal, including all ROIs containing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+ neurons at the cortical (left and right cerebral cortices) and subcortical (left hemisphere) levels. Sections </w:t>
      </w:r>
      <w:proofErr w:type="gramStart"/>
      <w:r w:rsidRPr="00D31B71">
        <w:rPr>
          <w:sz w:val="24"/>
          <w:szCs w:val="24"/>
        </w:rPr>
        <w:t>were scanned</w:t>
      </w:r>
      <w:proofErr w:type="gramEnd"/>
      <w:r w:rsidRPr="00D31B71">
        <w:rPr>
          <w:sz w:val="24"/>
          <w:szCs w:val="24"/>
        </w:rPr>
        <w:t xml:space="preserve"> at 20x in an </w:t>
      </w:r>
      <w:proofErr w:type="spellStart"/>
      <w:r w:rsidRPr="00D31B71">
        <w:rPr>
          <w:sz w:val="24"/>
          <w:szCs w:val="24"/>
        </w:rPr>
        <w:t>Aperio</w:t>
      </w:r>
      <w:proofErr w:type="spellEnd"/>
      <w:r w:rsidRPr="00D31B71">
        <w:rPr>
          <w:sz w:val="24"/>
          <w:szCs w:val="24"/>
        </w:rPr>
        <w:t xml:space="preserve"> CS2 slide scanner (Leica, </w:t>
      </w:r>
      <w:proofErr w:type="spellStart"/>
      <w:r w:rsidRPr="00D31B71">
        <w:rPr>
          <w:sz w:val="24"/>
          <w:szCs w:val="24"/>
        </w:rPr>
        <w:t>Wetzlar</w:t>
      </w:r>
      <w:proofErr w:type="spellEnd"/>
      <w:r w:rsidRPr="00D31B71">
        <w:rPr>
          <w:sz w:val="24"/>
          <w:szCs w:val="24"/>
        </w:rPr>
        <w:t xml:space="preserve">, Germany). </w:t>
      </w:r>
      <w:proofErr w:type="gramStart"/>
      <w:r w:rsidRPr="00D31B71">
        <w:rPr>
          <w:sz w:val="24"/>
          <w:szCs w:val="24"/>
        </w:rPr>
        <w:t>Selected cortical ROIs comprised the anterior cingulate gyrus (</w:t>
      </w:r>
      <w:proofErr w:type="spellStart"/>
      <w:r w:rsidRPr="00D31B71">
        <w:rPr>
          <w:sz w:val="24"/>
          <w:szCs w:val="24"/>
        </w:rPr>
        <w:t>ACgG</w:t>
      </w:r>
      <w:proofErr w:type="spellEnd"/>
      <w:r w:rsidRPr="00D31B71">
        <w:rPr>
          <w:sz w:val="24"/>
          <w:szCs w:val="24"/>
        </w:rPr>
        <w:t xml:space="preserve">), superior frontal gyrus (SFG), middle frontal gyrus (MFG), inferior frontal gyrus (IFG), precentral gyrus </w:t>
      </w:r>
      <w:r w:rsidRPr="00D31B71">
        <w:rPr>
          <w:sz w:val="24"/>
          <w:szCs w:val="24"/>
        </w:rPr>
        <w:lastRenderedPageBreak/>
        <w:t>(</w:t>
      </w:r>
      <w:proofErr w:type="spellStart"/>
      <w:r w:rsidRPr="00D31B71">
        <w:rPr>
          <w:sz w:val="24"/>
          <w:szCs w:val="24"/>
        </w:rPr>
        <w:t>PrG</w:t>
      </w:r>
      <w:proofErr w:type="spellEnd"/>
      <w:r w:rsidRPr="00D31B71">
        <w:rPr>
          <w:sz w:val="24"/>
          <w:szCs w:val="24"/>
        </w:rPr>
        <w:t xml:space="preserve">), </w:t>
      </w:r>
      <w:proofErr w:type="spellStart"/>
      <w:r w:rsidRPr="00D31B71">
        <w:rPr>
          <w:sz w:val="24"/>
          <w:szCs w:val="24"/>
        </w:rPr>
        <w:t>fronto</w:t>
      </w:r>
      <w:proofErr w:type="spellEnd"/>
      <w:r w:rsidRPr="00D31B71">
        <w:rPr>
          <w:sz w:val="24"/>
          <w:szCs w:val="24"/>
        </w:rPr>
        <w:t>-orbital gyrus (</w:t>
      </w:r>
      <w:proofErr w:type="spellStart"/>
      <w:r w:rsidRPr="00D31B71">
        <w:rPr>
          <w:sz w:val="24"/>
          <w:szCs w:val="24"/>
        </w:rPr>
        <w:t>FoG</w:t>
      </w:r>
      <w:proofErr w:type="spellEnd"/>
      <w:r w:rsidRPr="00D31B71">
        <w:rPr>
          <w:sz w:val="24"/>
          <w:szCs w:val="24"/>
        </w:rPr>
        <w:t>), medial orbital gyrus (</w:t>
      </w:r>
      <w:proofErr w:type="spellStart"/>
      <w:r w:rsidRPr="00D31B71">
        <w:rPr>
          <w:sz w:val="24"/>
          <w:szCs w:val="24"/>
        </w:rPr>
        <w:t>MOrG</w:t>
      </w:r>
      <w:proofErr w:type="spellEnd"/>
      <w:r w:rsidRPr="00D31B71">
        <w:rPr>
          <w:sz w:val="24"/>
          <w:szCs w:val="24"/>
        </w:rPr>
        <w:t>), lateral orbital gyrus (</w:t>
      </w:r>
      <w:proofErr w:type="spellStart"/>
      <w:r w:rsidRPr="00D31B71">
        <w:rPr>
          <w:sz w:val="24"/>
          <w:szCs w:val="24"/>
        </w:rPr>
        <w:t>LOrG</w:t>
      </w:r>
      <w:proofErr w:type="spellEnd"/>
      <w:r w:rsidRPr="00D31B71">
        <w:rPr>
          <w:sz w:val="24"/>
          <w:szCs w:val="24"/>
        </w:rPr>
        <w:t>) posterior cingulate gyrus (</w:t>
      </w:r>
      <w:proofErr w:type="spellStart"/>
      <w:r w:rsidRPr="00D31B71">
        <w:rPr>
          <w:sz w:val="24"/>
          <w:szCs w:val="24"/>
        </w:rPr>
        <w:t>PCgG</w:t>
      </w:r>
      <w:proofErr w:type="spellEnd"/>
      <w:r w:rsidRPr="00D31B71">
        <w:rPr>
          <w:sz w:val="24"/>
          <w:szCs w:val="24"/>
        </w:rPr>
        <w:t>), postcentral gyrus (</w:t>
      </w:r>
      <w:proofErr w:type="spellStart"/>
      <w:r w:rsidRPr="00D31B71">
        <w:rPr>
          <w:sz w:val="24"/>
          <w:szCs w:val="24"/>
        </w:rPr>
        <w:t>PoG</w:t>
      </w:r>
      <w:proofErr w:type="spellEnd"/>
      <w:r w:rsidRPr="00D31B71">
        <w:rPr>
          <w:sz w:val="24"/>
          <w:szCs w:val="24"/>
        </w:rPr>
        <w:t xml:space="preserve">), insular gyrus (Ins), superior parietal lobule (SPL), </w:t>
      </w:r>
      <w:proofErr w:type="spellStart"/>
      <w:r w:rsidRPr="00D31B71">
        <w:rPr>
          <w:sz w:val="24"/>
          <w:szCs w:val="24"/>
        </w:rPr>
        <w:t>supramarginal</w:t>
      </w:r>
      <w:proofErr w:type="spellEnd"/>
      <w:r w:rsidRPr="00D31B71">
        <w:rPr>
          <w:sz w:val="24"/>
          <w:szCs w:val="24"/>
        </w:rPr>
        <w:t xml:space="preserve"> gyrus (SMG), </w:t>
      </w:r>
      <w:proofErr w:type="spellStart"/>
      <w:r w:rsidRPr="00D31B71">
        <w:rPr>
          <w:sz w:val="24"/>
          <w:szCs w:val="24"/>
        </w:rPr>
        <w:t>precuneus</w:t>
      </w:r>
      <w:proofErr w:type="spellEnd"/>
      <w:r w:rsidRPr="00D31B71">
        <w:rPr>
          <w:sz w:val="24"/>
          <w:szCs w:val="24"/>
        </w:rPr>
        <w:t xml:space="preserve"> (</w:t>
      </w:r>
      <w:proofErr w:type="spellStart"/>
      <w:r w:rsidRPr="00D31B71">
        <w:rPr>
          <w:sz w:val="24"/>
          <w:szCs w:val="24"/>
        </w:rPr>
        <w:t>PCu</w:t>
      </w:r>
      <w:proofErr w:type="spellEnd"/>
      <w:r w:rsidRPr="00D31B71">
        <w:rPr>
          <w:sz w:val="24"/>
          <w:szCs w:val="24"/>
        </w:rPr>
        <w:t xml:space="preserve">), superior temporal gyrus (STG) and middle temporal gyrus (MTG), whereas subcortical ROIs included the </w:t>
      </w:r>
      <w:proofErr w:type="spellStart"/>
      <w:r w:rsidRPr="00D31B71">
        <w:rPr>
          <w:sz w:val="24"/>
          <w:szCs w:val="24"/>
        </w:rPr>
        <w:t>amygdaloid</w:t>
      </w:r>
      <w:proofErr w:type="spellEnd"/>
      <w:r w:rsidRPr="00D31B71">
        <w:rPr>
          <w:sz w:val="24"/>
          <w:szCs w:val="24"/>
        </w:rPr>
        <w:t xml:space="preserve"> complex (AMG), ventral anterior thalamic nucleus (VAL), ventral lateral thalamic nucleus (VL), ventral posterior thalamic nucleus (VPO), </w:t>
      </w:r>
      <w:proofErr w:type="spellStart"/>
      <w:r w:rsidRPr="00D31B71">
        <w:rPr>
          <w:sz w:val="24"/>
          <w:szCs w:val="24"/>
        </w:rPr>
        <w:t>centromedian-parafascicular</w:t>
      </w:r>
      <w:proofErr w:type="spellEnd"/>
      <w:r w:rsidRPr="00D31B71">
        <w:rPr>
          <w:sz w:val="24"/>
          <w:szCs w:val="24"/>
        </w:rPr>
        <w:t xml:space="preserve"> thalamic complex (CM-Pf), substantia </w:t>
      </w:r>
      <w:proofErr w:type="spellStart"/>
      <w:r w:rsidRPr="00D31B71">
        <w:rPr>
          <w:sz w:val="24"/>
          <w:szCs w:val="24"/>
        </w:rPr>
        <w:t>nigra</w:t>
      </w:r>
      <w:proofErr w:type="spellEnd"/>
      <w:r w:rsidRPr="00D31B71">
        <w:rPr>
          <w:sz w:val="24"/>
          <w:szCs w:val="24"/>
        </w:rPr>
        <w:t xml:space="preserve"> pars compacta (</w:t>
      </w:r>
      <w:proofErr w:type="spellStart"/>
      <w:r w:rsidRPr="00D31B71">
        <w:rPr>
          <w:sz w:val="24"/>
          <w:szCs w:val="24"/>
        </w:rPr>
        <w:t>SNpc</w:t>
      </w:r>
      <w:proofErr w:type="spellEnd"/>
      <w:r w:rsidRPr="00D31B71">
        <w:rPr>
          <w:sz w:val="24"/>
          <w:szCs w:val="24"/>
        </w:rPr>
        <w:t>) and dorsal raphe nucleus (DRN).</w:t>
      </w:r>
      <w:proofErr w:type="gramEnd"/>
      <w:r w:rsidRPr="00D31B71">
        <w:rPr>
          <w:sz w:val="24"/>
          <w:szCs w:val="24"/>
        </w:rPr>
        <w:t xml:space="preserve"> Segmentation of cortical areas </w:t>
      </w:r>
      <w:proofErr w:type="gramStart"/>
      <w:r w:rsidRPr="00D31B71">
        <w:rPr>
          <w:sz w:val="24"/>
          <w:szCs w:val="24"/>
        </w:rPr>
        <w:t>was conducted</w:t>
      </w:r>
      <w:proofErr w:type="gramEnd"/>
      <w:r w:rsidRPr="00D31B71">
        <w:rPr>
          <w:sz w:val="24"/>
          <w:szCs w:val="24"/>
        </w:rPr>
        <w:t xml:space="preserve"> in keeping with the stereotaxic atlas of Martin and Bowden (1996). In brief, scanned sections </w:t>
      </w:r>
      <w:proofErr w:type="gramStart"/>
      <w:r w:rsidRPr="00D31B71">
        <w:rPr>
          <w:sz w:val="24"/>
          <w:szCs w:val="24"/>
        </w:rPr>
        <w:t>were uploaded</w:t>
      </w:r>
      <w:proofErr w:type="gramEnd"/>
      <w:r w:rsidRPr="00D31B71">
        <w:rPr>
          <w:sz w:val="24"/>
          <w:szCs w:val="24"/>
        </w:rPr>
        <w:t xml:space="preserve"> to the </w:t>
      </w:r>
      <w:proofErr w:type="spellStart"/>
      <w:r w:rsidRPr="00D31B71">
        <w:rPr>
          <w:sz w:val="24"/>
          <w:szCs w:val="24"/>
        </w:rPr>
        <w:t>Aiforia</w:t>
      </w:r>
      <w:proofErr w:type="spellEnd"/>
      <w:r w:rsidRPr="00D31B71">
        <w:rPr>
          <w:sz w:val="24"/>
          <w:szCs w:val="24"/>
        </w:rPr>
        <w:t xml:space="preserve">® cloud. Next, the boundaries of each selected ROI </w:t>
      </w:r>
      <w:proofErr w:type="gramStart"/>
      <w:r w:rsidRPr="00D31B71">
        <w:rPr>
          <w:sz w:val="24"/>
          <w:szCs w:val="24"/>
        </w:rPr>
        <w:t>were outlined</w:t>
      </w:r>
      <w:proofErr w:type="gramEnd"/>
      <w:r w:rsidRPr="00D31B71">
        <w:rPr>
          <w:sz w:val="24"/>
          <w:szCs w:val="24"/>
        </w:rPr>
        <w:t xml:space="preserve"> at low magnification and the dedicated algorithm was then used as a template quantifying the desired neuronal population (e.g.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+ neurons). Representative images illustrating the accuracy of the conducted procedure </w:t>
      </w:r>
      <w:proofErr w:type="gramStart"/>
      <w:r w:rsidRPr="00D31B71">
        <w:rPr>
          <w:sz w:val="24"/>
          <w:szCs w:val="24"/>
        </w:rPr>
        <w:t>are provided</w:t>
      </w:r>
      <w:proofErr w:type="gramEnd"/>
      <w:r w:rsidRPr="00D31B71">
        <w:rPr>
          <w:sz w:val="24"/>
          <w:szCs w:val="24"/>
        </w:rPr>
        <w:t xml:space="preserve"> in Figure 1.</w:t>
      </w:r>
    </w:p>
    <w:p w:rsidR="005E7A1C" w:rsidRPr="00D31B71" w:rsidRDefault="005E7A1C" w:rsidP="005E7A1C">
      <w:pPr>
        <w:spacing w:line="360" w:lineRule="auto"/>
        <w:jc w:val="both"/>
        <w:rPr>
          <w:b/>
          <w:i/>
          <w:sz w:val="24"/>
          <w:szCs w:val="24"/>
        </w:rPr>
      </w:pPr>
      <w:r w:rsidRPr="00D31B71">
        <w:rPr>
          <w:b/>
          <w:i/>
          <w:sz w:val="24"/>
          <w:szCs w:val="24"/>
        </w:rPr>
        <w:t xml:space="preserve">Quantification of the </w:t>
      </w:r>
      <w:proofErr w:type="spellStart"/>
      <w:r w:rsidRPr="00D31B71">
        <w:rPr>
          <w:b/>
          <w:i/>
          <w:sz w:val="24"/>
          <w:szCs w:val="24"/>
        </w:rPr>
        <w:t>nigrostriatal</w:t>
      </w:r>
      <w:proofErr w:type="spellEnd"/>
      <w:r w:rsidRPr="00D31B71">
        <w:rPr>
          <w:b/>
          <w:i/>
          <w:sz w:val="24"/>
          <w:szCs w:val="24"/>
        </w:rPr>
        <w:t xml:space="preserve"> system</w:t>
      </w:r>
    </w:p>
    <w:p w:rsidR="005E7A1C" w:rsidRDefault="005E7A1C" w:rsidP="005E7A1C">
      <w:pPr>
        <w:spacing w:line="360" w:lineRule="auto"/>
        <w:ind w:firstLine="284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At the level of the substantia </w:t>
      </w:r>
      <w:proofErr w:type="spellStart"/>
      <w:r w:rsidRPr="00D31B71">
        <w:rPr>
          <w:sz w:val="24"/>
          <w:szCs w:val="24"/>
        </w:rPr>
        <w:t>nigra</w:t>
      </w:r>
      <w:proofErr w:type="spellEnd"/>
      <w:r w:rsidRPr="00D31B71">
        <w:rPr>
          <w:sz w:val="24"/>
          <w:szCs w:val="24"/>
        </w:rPr>
        <w:t xml:space="preserve"> pars compacta (</w:t>
      </w:r>
      <w:proofErr w:type="spellStart"/>
      <w:r w:rsidRPr="00D31B71">
        <w:rPr>
          <w:sz w:val="24"/>
          <w:szCs w:val="24"/>
        </w:rPr>
        <w:t>SNpc</w:t>
      </w:r>
      <w:proofErr w:type="spellEnd"/>
      <w:r w:rsidRPr="00D31B71">
        <w:rPr>
          <w:sz w:val="24"/>
          <w:szCs w:val="24"/>
        </w:rPr>
        <w:t xml:space="preserve">), the number of TH+ neurons were quantified with a different </w:t>
      </w:r>
      <w:proofErr w:type="spellStart"/>
      <w:r w:rsidRPr="00D31B71">
        <w:rPr>
          <w:sz w:val="24"/>
          <w:szCs w:val="24"/>
        </w:rPr>
        <w:t>Aiforia</w:t>
      </w:r>
      <w:proofErr w:type="spellEnd"/>
      <w:r w:rsidRPr="00D31B71">
        <w:rPr>
          <w:sz w:val="24"/>
          <w:szCs w:val="24"/>
        </w:rPr>
        <w:t xml:space="preserve">® algorithm designed to disclose TH+ cells (resulting in an error of 4.82%). In both animals, the analysis was conducted in thirteen TH-stained, equally-spaced coronal sections covering the whole </w:t>
      </w:r>
      <w:proofErr w:type="spellStart"/>
      <w:r w:rsidRPr="00D31B71">
        <w:rPr>
          <w:sz w:val="24"/>
          <w:szCs w:val="24"/>
        </w:rPr>
        <w:t>rostrocaudal</w:t>
      </w:r>
      <w:proofErr w:type="spellEnd"/>
      <w:r w:rsidRPr="00D31B71">
        <w:rPr>
          <w:sz w:val="24"/>
          <w:szCs w:val="24"/>
        </w:rPr>
        <w:t xml:space="preserve"> extent of the </w:t>
      </w:r>
      <w:proofErr w:type="spellStart"/>
      <w:r w:rsidRPr="00D31B71">
        <w:rPr>
          <w:sz w:val="24"/>
          <w:szCs w:val="24"/>
        </w:rPr>
        <w:t>SNpc</w:t>
      </w:r>
      <w:proofErr w:type="spellEnd"/>
      <w:r w:rsidRPr="00D31B71">
        <w:rPr>
          <w:sz w:val="24"/>
          <w:szCs w:val="24"/>
        </w:rPr>
        <w:t>. Sections were scanned at 20x in a slide scanner (</w:t>
      </w:r>
      <w:proofErr w:type="spellStart"/>
      <w:r w:rsidRPr="00D31B71">
        <w:rPr>
          <w:sz w:val="24"/>
          <w:szCs w:val="24"/>
        </w:rPr>
        <w:t>Aperio</w:t>
      </w:r>
      <w:proofErr w:type="spellEnd"/>
      <w:r w:rsidRPr="00D31B71">
        <w:rPr>
          <w:sz w:val="24"/>
          <w:szCs w:val="24"/>
        </w:rPr>
        <w:t xml:space="preserve"> CS2; Leica), and uploaded to the </w:t>
      </w:r>
      <w:proofErr w:type="spellStart"/>
      <w:r w:rsidRPr="00D31B71">
        <w:rPr>
          <w:sz w:val="24"/>
          <w:szCs w:val="24"/>
        </w:rPr>
        <w:t>Aiforia</w:t>
      </w:r>
      <w:proofErr w:type="spellEnd"/>
      <w:r w:rsidRPr="00D31B71">
        <w:rPr>
          <w:sz w:val="24"/>
          <w:szCs w:val="24"/>
        </w:rPr>
        <w:t xml:space="preserve">® cloud where TH+ neurons were quantified according to a similar procedure described above for estimating the number of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+ neurons. </w:t>
      </w:r>
      <w:proofErr w:type="gramStart"/>
      <w:r w:rsidRPr="00D31B71">
        <w:rPr>
          <w:sz w:val="24"/>
          <w:szCs w:val="24"/>
        </w:rPr>
        <w:t xml:space="preserve">Regarding the density of TH+ terminals at the level of the putamen, up to 26 equally-spaced coronal sections stained for TH and covering the whole </w:t>
      </w:r>
      <w:proofErr w:type="spellStart"/>
      <w:r w:rsidRPr="00D31B71">
        <w:rPr>
          <w:sz w:val="24"/>
          <w:szCs w:val="24"/>
        </w:rPr>
        <w:t>rostrocaudal</w:t>
      </w:r>
      <w:proofErr w:type="spellEnd"/>
      <w:r w:rsidRPr="00D31B71">
        <w:rPr>
          <w:sz w:val="24"/>
          <w:szCs w:val="24"/>
        </w:rPr>
        <w:t xml:space="preserve"> extent of the left and right putamen (pre- and post-commissural) in each animal were scanned at 20x and used for measuring TH optical densities with Fiji Image J (NIH, USA) and </w:t>
      </w:r>
      <w:proofErr w:type="spellStart"/>
      <w:r w:rsidRPr="00D31B71">
        <w:rPr>
          <w:sz w:val="24"/>
          <w:szCs w:val="24"/>
        </w:rPr>
        <w:t>coverted</w:t>
      </w:r>
      <w:proofErr w:type="spellEnd"/>
      <w:r w:rsidRPr="00D31B71">
        <w:rPr>
          <w:sz w:val="24"/>
          <w:szCs w:val="24"/>
        </w:rPr>
        <w:t xml:space="preserve"> to a logarithmic scale according to available protocol (</w:t>
      </w:r>
      <w:proofErr w:type="spellStart"/>
      <w:r w:rsidRPr="00D31B71">
        <w:rPr>
          <w:sz w:val="24"/>
          <w:szCs w:val="24"/>
        </w:rPr>
        <w:t>Ruifrok</w:t>
      </w:r>
      <w:proofErr w:type="spellEnd"/>
      <w:r w:rsidRPr="00D31B71">
        <w:rPr>
          <w:sz w:val="24"/>
          <w:szCs w:val="24"/>
        </w:rPr>
        <w:t xml:space="preserve"> and Johnston, 2011).</w:t>
      </w:r>
      <w:proofErr w:type="gramEnd"/>
      <w:r w:rsidRPr="00D31B71">
        <w:rPr>
          <w:sz w:val="24"/>
          <w:szCs w:val="24"/>
        </w:rPr>
        <w:t xml:space="preserve"> </w:t>
      </w:r>
    </w:p>
    <w:p w:rsidR="00056970" w:rsidRDefault="00056970" w:rsidP="00056970">
      <w:pPr>
        <w:spacing w:line="360" w:lineRule="auto"/>
        <w:jc w:val="both"/>
        <w:rPr>
          <w:sz w:val="24"/>
          <w:szCs w:val="24"/>
        </w:rPr>
      </w:pPr>
    </w:p>
    <w:p w:rsidR="00877103" w:rsidRPr="00877103" w:rsidRDefault="00877103" w:rsidP="00056970">
      <w:pPr>
        <w:spacing w:line="360" w:lineRule="auto"/>
        <w:jc w:val="both"/>
        <w:rPr>
          <w:b/>
          <w:sz w:val="24"/>
          <w:szCs w:val="24"/>
        </w:rPr>
      </w:pPr>
      <w:r w:rsidRPr="00877103">
        <w:rPr>
          <w:b/>
          <w:sz w:val="24"/>
          <w:szCs w:val="24"/>
        </w:rPr>
        <w:t>LITERATURE REFERENCES</w:t>
      </w:r>
    </w:p>
    <w:p w:rsidR="00DB04BB" w:rsidRPr="00D31B71" w:rsidRDefault="00DB04BB" w:rsidP="00DB04BB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lastRenderedPageBreak/>
        <w:t xml:space="preserve">Lanciego, J.L., and Vázquez, A. 2012. The basal ganglia and thalamus of the long-tailed macaque in stereotaxic coordinates. A template atlas based on coronal, sagittal and horizontal brain sections. Brain </w:t>
      </w:r>
      <w:proofErr w:type="spellStart"/>
      <w:r w:rsidRPr="00D31B71">
        <w:rPr>
          <w:sz w:val="24"/>
          <w:szCs w:val="24"/>
        </w:rPr>
        <w:t>Struct</w:t>
      </w:r>
      <w:proofErr w:type="spellEnd"/>
      <w:r w:rsidRPr="00D31B71">
        <w:rPr>
          <w:sz w:val="24"/>
          <w:szCs w:val="24"/>
        </w:rPr>
        <w:t xml:space="preserve">. </w:t>
      </w:r>
      <w:proofErr w:type="spellStart"/>
      <w:r w:rsidRPr="00D31B71">
        <w:rPr>
          <w:sz w:val="24"/>
          <w:szCs w:val="24"/>
        </w:rPr>
        <w:t>Funct</w:t>
      </w:r>
      <w:proofErr w:type="spellEnd"/>
      <w:r w:rsidRPr="00D31B71">
        <w:rPr>
          <w:sz w:val="24"/>
          <w:szCs w:val="24"/>
        </w:rPr>
        <w:t xml:space="preserve">. 217(2), 613-666. </w:t>
      </w:r>
      <w:proofErr w:type="spellStart"/>
      <w:proofErr w:type="gramStart"/>
      <w:r w:rsidRPr="00D31B71">
        <w:rPr>
          <w:sz w:val="24"/>
          <w:szCs w:val="24"/>
        </w:rPr>
        <w:t>doi</w:t>
      </w:r>
      <w:proofErr w:type="spellEnd"/>
      <w:proofErr w:type="gramEnd"/>
      <w:r w:rsidRPr="00D31B71">
        <w:rPr>
          <w:sz w:val="24"/>
          <w:szCs w:val="24"/>
        </w:rPr>
        <w:t xml:space="preserve">: </w:t>
      </w:r>
      <w:r w:rsidRPr="00D31B71">
        <w:rPr>
          <w:rFonts w:cs="Segoe UI"/>
          <w:sz w:val="24"/>
          <w:szCs w:val="24"/>
          <w:shd w:val="clear" w:color="auto" w:fill="FFFFFF"/>
        </w:rPr>
        <w:t>10.1007/s00429-011-0370-5</w:t>
      </w:r>
    </w:p>
    <w:p w:rsidR="00DB04BB" w:rsidRPr="00D31B71" w:rsidRDefault="00DB04BB" w:rsidP="00DB04BB">
      <w:pPr>
        <w:spacing w:line="240" w:lineRule="auto"/>
        <w:jc w:val="both"/>
        <w:rPr>
          <w:sz w:val="24"/>
          <w:szCs w:val="24"/>
        </w:rPr>
      </w:pPr>
      <w:r w:rsidRPr="00D31B71">
        <w:rPr>
          <w:sz w:val="24"/>
          <w:szCs w:val="24"/>
        </w:rPr>
        <w:t xml:space="preserve">Martin, R.F., and Bowden, D.M. 1996. </w:t>
      </w:r>
      <w:r w:rsidRPr="00D31B71">
        <w:rPr>
          <w:i/>
          <w:sz w:val="24"/>
          <w:szCs w:val="24"/>
        </w:rPr>
        <w:t>Template Atlas of the Primate Brain</w:t>
      </w:r>
      <w:r w:rsidRPr="00D31B71">
        <w:rPr>
          <w:sz w:val="24"/>
          <w:szCs w:val="24"/>
        </w:rPr>
        <w:t>. University of Washington, Seattle, WA.</w:t>
      </w:r>
    </w:p>
    <w:p w:rsidR="00DB04BB" w:rsidRPr="00D31B71" w:rsidRDefault="00DB04BB" w:rsidP="00DB04BB">
      <w:pPr>
        <w:spacing w:line="240" w:lineRule="auto"/>
        <w:jc w:val="both"/>
        <w:rPr>
          <w:sz w:val="24"/>
          <w:szCs w:val="24"/>
        </w:rPr>
      </w:pPr>
      <w:proofErr w:type="spellStart"/>
      <w:r w:rsidRPr="00D31B71">
        <w:rPr>
          <w:sz w:val="24"/>
          <w:szCs w:val="24"/>
        </w:rPr>
        <w:t>Penttinen</w:t>
      </w:r>
      <w:proofErr w:type="spellEnd"/>
      <w:r w:rsidRPr="00D31B71">
        <w:rPr>
          <w:sz w:val="24"/>
          <w:szCs w:val="24"/>
        </w:rPr>
        <w:t xml:space="preserve">, A-M., </w:t>
      </w:r>
      <w:proofErr w:type="spellStart"/>
      <w:r w:rsidRPr="00D31B71">
        <w:rPr>
          <w:sz w:val="24"/>
          <w:szCs w:val="24"/>
        </w:rPr>
        <w:t>Parkkinen</w:t>
      </w:r>
      <w:proofErr w:type="spellEnd"/>
      <w:r w:rsidRPr="00D31B71">
        <w:rPr>
          <w:sz w:val="24"/>
          <w:szCs w:val="24"/>
        </w:rPr>
        <w:t xml:space="preserve">, I., </w:t>
      </w:r>
      <w:proofErr w:type="spellStart"/>
      <w:r w:rsidRPr="00D31B71">
        <w:rPr>
          <w:sz w:val="24"/>
          <w:szCs w:val="24"/>
        </w:rPr>
        <w:t>Blom</w:t>
      </w:r>
      <w:proofErr w:type="spellEnd"/>
      <w:r w:rsidRPr="00D31B71">
        <w:rPr>
          <w:sz w:val="24"/>
          <w:szCs w:val="24"/>
        </w:rPr>
        <w:t xml:space="preserve">, S., </w:t>
      </w:r>
      <w:proofErr w:type="spellStart"/>
      <w:r w:rsidRPr="00D31B71">
        <w:rPr>
          <w:sz w:val="24"/>
          <w:szCs w:val="24"/>
        </w:rPr>
        <w:t>Kopra</w:t>
      </w:r>
      <w:proofErr w:type="spellEnd"/>
      <w:r w:rsidRPr="00D31B71">
        <w:rPr>
          <w:sz w:val="24"/>
          <w:szCs w:val="24"/>
        </w:rPr>
        <w:t xml:space="preserve">, J., </w:t>
      </w:r>
      <w:proofErr w:type="spellStart"/>
      <w:r w:rsidRPr="00D31B71">
        <w:rPr>
          <w:sz w:val="24"/>
          <w:szCs w:val="24"/>
        </w:rPr>
        <w:t>Andressoo</w:t>
      </w:r>
      <w:proofErr w:type="spellEnd"/>
      <w:r w:rsidRPr="00D31B71">
        <w:rPr>
          <w:sz w:val="24"/>
          <w:szCs w:val="24"/>
        </w:rPr>
        <w:t xml:space="preserve">, J-A., </w:t>
      </w:r>
      <w:proofErr w:type="spellStart"/>
      <w:r w:rsidRPr="00D31B71">
        <w:rPr>
          <w:sz w:val="24"/>
          <w:szCs w:val="24"/>
        </w:rPr>
        <w:t>Pitkänen</w:t>
      </w:r>
      <w:proofErr w:type="spellEnd"/>
      <w:r w:rsidRPr="00D31B71">
        <w:rPr>
          <w:sz w:val="24"/>
          <w:szCs w:val="24"/>
        </w:rPr>
        <w:t xml:space="preserve">, K., </w:t>
      </w:r>
      <w:r w:rsidRPr="00D31B71">
        <w:rPr>
          <w:i/>
          <w:sz w:val="24"/>
          <w:szCs w:val="24"/>
        </w:rPr>
        <w:t>et al</w:t>
      </w:r>
      <w:r w:rsidRPr="00D31B71">
        <w:rPr>
          <w:sz w:val="24"/>
          <w:szCs w:val="24"/>
        </w:rPr>
        <w:t xml:space="preserve">. 2018. Implementation of deep neural networks to count dopamine neurons in substantia </w:t>
      </w:r>
      <w:proofErr w:type="spellStart"/>
      <w:r w:rsidRPr="00D31B71">
        <w:rPr>
          <w:sz w:val="24"/>
          <w:szCs w:val="24"/>
        </w:rPr>
        <w:t>nigra</w:t>
      </w:r>
      <w:proofErr w:type="spellEnd"/>
      <w:r w:rsidRPr="00D31B71">
        <w:rPr>
          <w:sz w:val="24"/>
          <w:szCs w:val="24"/>
        </w:rPr>
        <w:t xml:space="preserve">. </w:t>
      </w:r>
      <w:r w:rsidRPr="00D31B71">
        <w:rPr>
          <w:i/>
          <w:sz w:val="24"/>
          <w:szCs w:val="24"/>
        </w:rPr>
        <w:t xml:space="preserve">Eur. J. </w:t>
      </w:r>
      <w:proofErr w:type="spellStart"/>
      <w:r w:rsidRPr="00D31B71">
        <w:rPr>
          <w:i/>
          <w:sz w:val="24"/>
          <w:szCs w:val="24"/>
        </w:rPr>
        <w:t>Neurosci</w:t>
      </w:r>
      <w:proofErr w:type="spellEnd"/>
      <w:r w:rsidRPr="00D31B71">
        <w:rPr>
          <w:i/>
          <w:sz w:val="24"/>
          <w:szCs w:val="24"/>
        </w:rPr>
        <w:t>.</w:t>
      </w:r>
      <w:r w:rsidRPr="00D31B71">
        <w:rPr>
          <w:sz w:val="24"/>
          <w:szCs w:val="24"/>
        </w:rPr>
        <w:t xml:space="preserve"> </w:t>
      </w:r>
      <w:proofErr w:type="gramStart"/>
      <w:r w:rsidRPr="00D31B71">
        <w:rPr>
          <w:sz w:val="24"/>
          <w:szCs w:val="24"/>
        </w:rPr>
        <w:t>48</w:t>
      </w:r>
      <w:proofErr w:type="gramEnd"/>
      <w:r w:rsidRPr="00D31B71">
        <w:rPr>
          <w:sz w:val="24"/>
          <w:szCs w:val="24"/>
        </w:rPr>
        <w:t xml:space="preserve">, 2354-2362. </w:t>
      </w:r>
      <w:proofErr w:type="spellStart"/>
      <w:proofErr w:type="gramStart"/>
      <w:r w:rsidRPr="00D31B71">
        <w:rPr>
          <w:sz w:val="24"/>
          <w:szCs w:val="24"/>
        </w:rPr>
        <w:t>doi</w:t>
      </w:r>
      <w:proofErr w:type="spellEnd"/>
      <w:proofErr w:type="gramEnd"/>
      <w:r w:rsidRPr="00D31B71">
        <w:rPr>
          <w:sz w:val="24"/>
          <w:szCs w:val="24"/>
        </w:rPr>
        <w:t xml:space="preserve">: </w:t>
      </w:r>
      <w:r w:rsidRPr="00D31B71">
        <w:rPr>
          <w:rFonts w:cs="Segoe UI"/>
          <w:sz w:val="24"/>
          <w:szCs w:val="24"/>
          <w:shd w:val="clear" w:color="auto" w:fill="FFFFFF"/>
        </w:rPr>
        <w:t>10.1111/ejn.14129</w:t>
      </w:r>
    </w:p>
    <w:p w:rsidR="00DB04BB" w:rsidRPr="00A230D9" w:rsidRDefault="00DB04BB" w:rsidP="00DB04BB">
      <w:pPr>
        <w:spacing w:line="240" w:lineRule="auto"/>
        <w:jc w:val="both"/>
        <w:rPr>
          <w:sz w:val="24"/>
          <w:szCs w:val="24"/>
        </w:rPr>
      </w:pPr>
      <w:proofErr w:type="spellStart"/>
      <w:r w:rsidRPr="00D31B71">
        <w:rPr>
          <w:sz w:val="24"/>
          <w:szCs w:val="24"/>
        </w:rPr>
        <w:t>Ruifrok</w:t>
      </w:r>
      <w:proofErr w:type="spellEnd"/>
      <w:r w:rsidRPr="00D31B71">
        <w:rPr>
          <w:sz w:val="24"/>
          <w:szCs w:val="24"/>
        </w:rPr>
        <w:t xml:space="preserve">, A.C., and Johnston, D.A. 2011. Quantification of histochemical staining by color deconvolution. </w:t>
      </w:r>
      <w:r w:rsidRPr="00D31B71">
        <w:rPr>
          <w:i/>
          <w:sz w:val="24"/>
          <w:szCs w:val="24"/>
        </w:rPr>
        <w:t xml:space="preserve">Anal. Quant. </w:t>
      </w:r>
      <w:proofErr w:type="spellStart"/>
      <w:r w:rsidRPr="00D31B71">
        <w:rPr>
          <w:i/>
          <w:sz w:val="24"/>
          <w:szCs w:val="24"/>
        </w:rPr>
        <w:t>Cytol</w:t>
      </w:r>
      <w:proofErr w:type="spellEnd"/>
      <w:r w:rsidRPr="00D31B71">
        <w:rPr>
          <w:i/>
          <w:sz w:val="24"/>
          <w:szCs w:val="24"/>
        </w:rPr>
        <w:t xml:space="preserve">. </w:t>
      </w:r>
      <w:proofErr w:type="spellStart"/>
      <w:r w:rsidRPr="00D31B71">
        <w:rPr>
          <w:i/>
          <w:sz w:val="24"/>
          <w:szCs w:val="24"/>
        </w:rPr>
        <w:t>Histol</w:t>
      </w:r>
      <w:proofErr w:type="spellEnd"/>
      <w:r w:rsidRPr="00D31B71">
        <w:rPr>
          <w:i/>
          <w:sz w:val="24"/>
          <w:szCs w:val="24"/>
        </w:rPr>
        <w:t>.</w:t>
      </w:r>
      <w:r w:rsidRPr="00D31B71">
        <w:rPr>
          <w:sz w:val="24"/>
          <w:szCs w:val="24"/>
        </w:rPr>
        <w:t xml:space="preserve"> </w:t>
      </w:r>
      <w:proofErr w:type="gramStart"/>
      <w:r w:rsidRPr="00A230D9">
        <w:rPr>
          <w:sz w:val="24"/>
          <w:szCs w:val="24"/>
        </w:rPr>
        <w:t>23</w:t>
      </w:r>
      <w:proofErr w:type="gramEnd"/>
      <w:r w:rsidRPr="00A230D9">
        <w:rPr>
          <w:sz w:val="24"/>
          <w:szCs w:val="24"/>
        </w:rPr>
        <w:t>, 291-299.</w:t>
      </w:r>
    </w:p>
    <w:p w:rsidR="00DB04BB" w:rsidRDefault="00DB04BB" w:rsidP="00056970">
      <w:pPr>
        <w:spacing w:line="360" w:lineRule="auto"/>
        <w:jc w:val="both"/>
        <w:rPr>
          <w:sz w:val="24"/>
          <w:szCs w:val="24"/>
        </w:rPr>
      </w:pPr>
    </w:p>
    <w:p w:rsidR="00056970" w:rsidRPr="00056970" w:rsidRDefault="00056970" w:rsidP="00056970">
      <w:pPr>
        <w:spacing w:line="360" w:lineRule="auto"/>
        <w:jc w:val="both"/>
        <w:rPr>
          <w:b/>
          <w:sz w:val="24"/>
          <w:szCs w:val="24"/>
        </w:rPr>
      </w:pPr>
      <w:r w:rsidRPr="00056970">
        <w:rPr>
          <w:b/>
          <w:sz w:val="24"/>
          <w:szCs w:val="24"/>
        </w:rPr>
        <w:t>FIGURE LEGENDS</w:t>
      </w:r>
    </w:p>
    <w:p w:rsidR="00056970" w:rsidRDefault="00056970" w:rsidP="0005697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Figure 1.</w:t>
      </w:r>
      <w:r w:rsidRPr="00056970">
        <w:rPr>
          <w:b/>
          <w:sz w:val="24"/>
          <w:szCs w:val="24"/>
        </w:rPr>
        <w:t xml:space="preserve"> Viral vector (</w:t>
      </w:r>
      <w:proofErr w:type="spellStart"/>
      <w:r w:rsidRPr="00056970">
        <w:rPr>
          <w:b/>
          <w:sz w:val="24"/>
          <w:szCs w:val="24"/>
        </w:rPr>
        <w:t>synapsin</w:t>
      </w:r>
      <w:proofErr w:type="spellEnd"/>
      <w:proofErr w:type="gramStart"/>
      <w:r w:rsidRPr="00056970">
        <w:rPr>
          <w:b/>
          <w:sz w:val="24"/>
          <w:szCs w:val="24"/>
        </w:rPr>
        <w:t>)AAV9</w:t>
      </w:r>
      <w:proofErr w:type="gramEnd"/>
      <w:r w:rsidRPr="00056970">
        <w:rPr>
          <w:b/>
          <w:sz w:val="24"/>
          <w:szCs w:val="24"/>
        </w:rPr>
        <w:t xml:space="preserve">-Syna53T. </w:t>
      </w:r>
      <w:r>
        <w:rPr>
          <w:sz w:val="24"/>
          <w:szCs w:val="24"/>
        </w:rPr>
        <w:t>Plasmid map and sequence for the adeno-associated viral vector used here (produced by Vector Builder).</w:t>
      </w:r>
    </w:p>
    <w:p w:rsidR="00877103" w:rsidRDefault="00056970" w:rsidP="00056970">
      <w:pPr>
        <w:spacing w:line="360" w:lineRule="auto"/>
        <w:jc w:val="both"/>
        <w:rPr>
          <w:sz w:val="24"/>
          <w:szCs w:val="24"/>
        </w:rPr>
      </w:pPr>
      <w:r w:rsidRPr="00056970">
        <w:rPr>
          <w:b/>
          <w:sz w:val="24"/>
          <w:szCs w:val="24"/>
        </w:rPr>
        <w:t xml:space="preserve">Figure 2. </w:t>
      </w:r>
      <w:proofErr w:type="spellStart"/>
      <w:r w:rsidRPr="00056970">
        <w:rPr>
          <w:b/>
          <w:sz w:val="24"/>
          <w:szCs w:val="24"/>
        </w:rPr>
        <w:t>Ventriculography</w:t>
      </w:r>
      <w:proofErr w:type="spellEnd"/>
      <w:r w:rsidRPr="00056970">
        <w:rPr>
          <w:b/>
          <w:sz w:val="24"/>
          <w:szCs w:val="24"/>
        </w:rPr>
        <w:t xml:space="preserve">-assisted stereotaxic surgery: </w:t>
      </w:r>
      <w:r w:rsidR="00781F09" w:rsidRPr="00781F09">
        <w:rPr>
          <w:sz w:val="24"/>
          <w:szCs w:val="24"/>
        </w:rPr>
        <w:t>X-ray images illustrating the c</w:t>
      </w:r>
      <w:r w:rsidR="00781F09">
        <w:rPr>
          <w:sz w:val="24"/>
          <w:szCs w:val="24"/>
        </w:rPr>
        <w:t>onduced procedure for the delivery of (</w:t>
      </w:r>
      <w:proofErr w:type="spellStart"/>
      <w:r w:rsidR="00781F09">
        <w:rPr>
          <w:sz w:val="24"/>
          <w:szCs w:val="24"/>
        </w:rPr>
        <w:t>synapsin</w:t>
      </w:r>
      <w:proofErr w:type="spellEnd"/>
      <w:r w:rsidR="00781F09">
        <w:rPr>
          <w:sz w:val="24"/>
          <w:szCs w:val="24"/>
        </w:rPr>
        <w:t xml:space="preserve">)AAV9-SynA53T into the putamen (3 sites; 25 </w:t>
      </w:r>
      <w:r w:rsidR="00781F09" w:rsidRPr="00781F09">
        <w:rPr>
          <w:rFonts w:ascii="Symbol" w:hAnsi="Symbol"/>
          <w:sz w:val="24"/>
          <w:szCs w:val="24"/>
        </w:rPr>
        <w:t></w:t>
      </w:r>
      <w:r w:rsidR="00781F09">
        <w:rPr>
          <w:sz w:val="24"/>
          <w:szCs w:val="24"/>
        </w:rPr>
        <w:t>l each) in both animals</w:t>
      </w:r>
      <w:r w:rsidR="006E4F70">
        <w:rPr>
          <w:sz w:val="24"/>
          <w:szCs w:val="24"/>
        </w:rPr>
        <w:t xml:space="preserve"> (panels A-D referencing injections performed in animal MF04 and panels E-H for animal MF05). Stereotaxic surgery starts with an adequate identification of the anterior (ac) and posterior (pc) </w:t>
      </w:r>
      <w:proofErr w:type="spellStart"/>
      <w:r w:rsidR="006E4F70">
        <w:rPr>
          <w:sz w:val="24"/>
          <w:szCs w:val="24"/>
        </w:rPr>
        <w:t>commisures</w:t>
      </w:r>
      <w:proofErr w:type="spellEnd"/>
      <w:r w:rsidR="006E4F70">
        <w:rPr>
          <w:sz w:val="24"/>
          <w:szCs w:val="24"/>
        </w:rPr>
        <w:t xml:space="preserve">, that both together define the ac-pc plane of reference. </w:t>
      </w:r>
      <w:r w:rsidR="009A23F1">
        <w:rPr>
          <w:sz w:val="24"/>
          <w:szCs w:val="24"/>
        </w:rPr>
        <w:t xml:space="preserve">This procedure </w:t>
      </w:r>
      <w:proofErr w:type="gramStart"/>
      <w:r w:rsidR="009A23F1">
        <w:rPr>
          <w:sz w:val="24"/>
          <w:szCs w:val="24"/>
        </w:rPr>
        <w:t>is illustrated</w:t>
      </w:r>
      <w:proofErr w:type="gramEnd"/>
      <w:r w:rsidR="009A23F1">
        <w:rPr>
          <w:sz w:val="24"/>
          <w:szCs w:val="24"/>
        </w:rPr>
        <w:t xml:space="preserve"> in panels A &amp; E. For this purpose, an intrathecal needle is located in the left frontal projection of the lateral ventricle. Once in place, 0.3 ml of an x-ray contrast solution (</w:t>
      </w:r>
      <w:proofErr w:type="spellStart"/>
      <w:r w:rsidR="009A23F1">
        <w:rPr>
          <w:sz w:val="24"/>
          <w:szCs w:val="24"/>
        </w:rPr>
        <w:t>Omnipaque</w:t>
      </w:r>
      <w:proofErr w:type="spellEnd"/>
      <w:r w:rsidR="009A23F1">
        <w:rPr>
          <w:sz w:val="24"/>
          <w:szCs w:val="24"/>
        </w:rPr>
        <w:t xml:space="preserve">®, GE Healthcare) </w:t>
      </w:r>
      <w:proofErr w:type="gramStart"/>
      <w:r w:rsidR="009A23F1">
        <w:rPr>
          <w:sz w:val="24"/>
          <w:szCs w:val="24"/>
        </w:rPr>
        <w:t>is infused</w:t>
      </w:r>
      <w:proofErr w:type="gramEnd"/>
      <w:r w:rsidR="009A23F1">
        <w:rPr>
          <w:sz w:val="24"/>
          <w:szCs w:val="24"/>
        </w:rPr>
        <w:t xml:space="preserve"> and the x-ray obtained. The ac-pc length </w:t>
      </w:r>
      <w:proofErr w:type="gramStart"/>
      <w:r w:rsidR="009A23F1">
        <w:rPr>
          <w:sz w:val="24"/>
          <w:szCs w:val="24"/>
        </w:rPr>
        <w:t>is measured and used to calibrate the stereotaxic atlases used for the stereotaxic deliveries of AAVs (Martin and Bowden, 1996; Lanciego and Vázquez, 2012)</w:t>
      </w:r>
      <w:proofErr w:type="gramEnd"/>
      <w:r w:rsidR="009A23F1">
        <w:rPr>
          <w:sz w:val="24"/>
          <w:szCs w:val="24"/>
        </w:rPr>
        <w:t>. Next, by taking advantage of a Hamilton® syringe, a viral suspension of (</w:t>
      </w:r>
      <w:proofErr w:type="spellStart"/>
      <w:r w:rsidR="009A23F1">
        <w:rPr>
          <w:sz w:val="24"/>
          <w:szCs w:val="24"/>
        </w:rPr>
        <w:t>synapsin</w:t>
      </w:r>
      <w:proofErr w:type="spellEnd"/>
      <w:r w:rsidR="009A23F1">
        <w:rPr>
          <w:sz w:val="24"/>
          <w:szCs w:val="24"/>
        </w:rPr>
        <w:t xml:space="preserve">)AAV-SynA53T is delivered into the left putamen at an ac distance of 0, +1 and -1 mm (panels B, C and D for animal MF04; panels F, G and H for animal MF05). Each injection is made of 25 </w:t>
      </w:r>
      <w:r w:rsidR="009A23F1" w:rsidRPr="009A23F1">
        <w:rPr>
          <w:rFonts w:ascii="Symbol" w:hAnsi="Symbol"/>
          <w:sz w:val="24"/>
          <w:szCs w:val="24"/>
        </w:rPr>
        <w:t></w:t>
      </w:r>
      <w:r w:rsidR="009A23F1">
        <w:rPr>
          <w:sz w:val="24"/>
          <w:szCs w:val="24"/>
        </w:rPr>
        <w:t xml:space="preserve">l, delivered in pulses of </w:t>
      </w:r>
      <w:proofErr w:type="gramStart"/>
      <w:r w:rsidR="009A23F1">
        <w:rPr>
          <w:sz w:val="24"/>
          <w:szCs w:val="24"/>
        </w:rPr>
        <w:t>5</w:t>
      </w:r>
      <w:proofErr w:type="gramEnd"/>
      <w:r w:rsidR="009A23F1">
        <w:rPr>
          <w:sz w:val="24"/>
          <w:szCs w:val="24"/>
        </w:rPr>
        <w:t xml:space="preserve"> </w:t>
      </w:r>
      <w:r w:rsidR="009A23F1" w:rsidRPr="009A23F1">
        <w:rPr>
          <w:rFonts w:ascii="Symbol" w:hAnsi="Symbol"/>
          <w:sz w:val="24"/>
          <w:szCs w:val="24"/>
        </w:rPr>
        <w:t></w:t>
      </w:r>
      <w:r w:rsidR="009A23F1">
        <w:rPr>
          <w:sz w:val="24"/>
          <w:szCs w:val="24"/>
        </w:rPr>
        <w:t>l/min.</w:t>
      </w:r>
    </w:p>
    <w:p w:rsidR="00056970" w:rsidRPr="00056970" w:rsidRDefault="009A23F1" w:rsidP="00056970">
      <w:pPr>
        <w:spacing w:line="360" w:lineRule="auto"/>
        <w:jc w:val="both"/>
        <w:rPr>
          <w:sz w:val="24"/>
          <w:szCs w:val="24"/>
        </w:rPr>
      </w:pPr>
      <w:r w:rsidRPr="009A23F1">
        <w:rPr>
          <w:b/>
          <w:sz w:val="24"/>
          <w:szCs w:val="24"/>
        </w:rPr>
        <w:t>Figure 3.</w:t>
      </w:r>
      <w:r>
        <w:rPr>
          <w:sz w:val="24"/>
          <w:szCs w:val="24"/>
        </w:rPr>
        <w:t xml:space="preserve"> </w:t>
      </w:r>
      <w:r w:rsidRPr="00D31B71">
        <w:rPr>
          <w:b/>
          <w:sz w:val="24"/>
          <w:szCs w:val="24"/>
        </w:rPr>
        <w:t xml:space="preserve">Quantification of </w:t>
      </w:r>
      <w:r w:rsidRPr="00D31B71">
        <w:rPr>
          <w:rFonts w:ascii="Symbol" w:hAnsi="Symbol"/>
          <w:b/>
          <w:sz w:val="24"/>
          <w:szCs w:val="24"/>
        </w:rPr>
        <w:t></w:t>
      </w:r>
      <w:r w:rsidRPr="00D31B71">
        <w:rPr>
          <w:b/>
          <w:sz w:val="24"/>
          <w:szCs w:val="24"/>
        </w:rPr>
        <w:t>-</w:t>
      </w:r>
      <w:proofErr w:type="spellStart"/>
      <w:r w:rsidRPr="00D31B71">
        <w:rPr>
          <w:b/>
          <w:sz w:val="24"/>
          <w:szCs w:val="24"/>
        </w:rPr>
        <w:t>Syn</w:t>
      </w:r>
      <w:proofErr w:type="spellEnd"/>
      <w:r w:rsidRPr="00D31B71">
        <w:rPr>
          <w:b/>
          <w:sz w:val="24"/>
          <w:szCs w:val="24"/>
        </w:rPr>
        <w:t xml:space="preserve">+ neurons. </w:t>
      </w:r>
      <w:r w:rsidRPr="00D31B71">
        <w:rPr>
          <w:sz w:val="24"/>
          <w:szCs w:val="24"/>
        </w:rPr>
        <w:t xml:space="preserve">A dedicated deep-learning algorithm identifying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 transduced neurons was prepared with </w:t>
      </w:r>
      <w:proofErr w:type="spellStart"/>
      <w:r w:rsidRPr="00D31B71">
        <w:rPr>
          <w:sz w:val="24"/>
          <w:szCs w:val="24"/>
        </w:rPr>
        <w:t>Aiforia</w:t>
      </w:r>
      <w:proofErr w:type="spellEnd"/>
      <w:r w:rsidRPr="00D31B71">
        <w:rPr>
          <w:sz w:val="24"/>
          <w:szCs w:val="24"/>
        </w:rPr>
        <w:t>® (</w:t>
      </w:r>
      <w:hyperlink r:id="rId7" w:history="1">
        <w:r w:rsidRPr="00D31B71">
          <w:rPr>
            <w:rStyle w:val="Hipervnculo"/>
            <w:color w:val="auto"/>
            <w:sz w:val="24"/>
            <w:szCs w:val="24"/>
          </w:rPr>
          <w:t>www.aiforia.com</w:t>
        </w:r>
      </w:hyperlink>
      <w:r w:rsidRPr="00D31B71">
        <w:rPr>
          <w:sz w:val="24"/>
          <w:szCs w:val="24"/>
        </w:rPr>
        <w:t xml:space="preserve">). Scanned sections </w:t>
      </w:r>
      <w:proofErr w:type="gramStart"/>
      <w:r w:rsidRPr="00D31B71">
        <w:rPr>
          <w:sz w:val="24"/>
          <w:szCs w:val="24"/>
        </w:rPr>
        <w:t>were uploaded</w:t>
      </w:r>
      <w:proofErr w:type="gramEnd"/>
      <w:r w:rsidRPr="00D31B71">
        <w:rPr>
          <w:sz w:val="24"/>
          <w:szCs w:val="24"/>
        </w:rPr>
        <w:t xml:space="preserve"> to </w:t>
      </w:r>
      <w:proofErr w:type="spellStart"/>
      <w:r w:rsidRPr="00D31B71">
        <w:rPr>
          <w:sz w:val="24"/>
          <w:szCs w:val="24"/>
        </w:rPr>
        <w:t>Aiforia</w:t>
      </w:r>
      <w:proofErr w:type="spellEnd"/>
      <w:r w:rsidRPr="00D31B71">
        <w:rPr>
          <w:sz w:val="24"/>
          <w:szCs w:val="24"/>
        </w:rPr>
        <w:t xml:space="preserve">® cloud and several different ROIs were </w:t>
      </w:r>
      <w:r w:rsidRPr="00D31B71">
        <w:rPr>
          <w:sz w:val="24"/>
          <w:szCs w:val="24"/>
        </w:rPr>
        <w:lastRenderedPageBreak/>
        <w:t xml:space="preserve">outlined throughout cortical and subcortical territories. Panel A illustrates the delineation of the left </w:t>
      </w:r>
      <w:proofErr w:type="spellStart"/>
      <w:r w:rsidRPr="00D31B71">
        <w:rPr>
          <w:sz w:val="24"/>
          <w:szCs w:val="24"/>
        </w:rPr>
        <w:t>supramarginal</w:t>
      </w:r>
      <w:proofErr w:type="spellEnd"/>
      <w:r w:rsidRPr="00D31B71">
        <w:rPr>
          <w:sz w:val="24"/>
          <w:szCs w:val="24"/>
        </w:rPr>
        <w:t xml:space="preserve"> gyrus at low magnification (0.169x). Labeling intensity, reflecting the number of transduced neurons is represented color-coded in panel A’. Panel B shows the same area at a magnification of 2x, together with the accompanying result, color-coded as illustrated in panel B’. A higher-magnification view (5x) of the obtained labeling is shown in panel C, together with the accurate identification of every single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 xml:space="preserve">+ neuron, as observed in panel C’. All transduced neurons </w:t>
      </w:r>
      <w:proofErr w:type="gramStart"/>
      <w:r w:rsidRPr="00D31B71">
        <w:rPr>
          <w:sz w:val="24"/>
          <w:szCs w:val="24"/>
        </w:rPr>
        <w:t>were quantified</w:t>
      </w:r>
      <w:proofErr w:type="gramEnd"/>
      <w:r w:rsidRPr="00D31B71">
        <w:rPr>
          <w:sz w:val="24"/>
          <w:szCs w:val="24"/>
        </w:rPr>
        <w:t xml:space="preserve"> within the selected ROI. Illustrated images </w:t>
      </w:r>
      <w:proofErr w:type="gramStart"/>
      <w:r w:rsidRPr="00D31B71">
        <w:rPr>
          <w:sz w:val="24"/>
          <w:szCs w:val="24"/>
        </w:rPr>
        <w:t>are taken</w:t>
      </w:r>
      <w:proofErr w:type="gramEnd"/>
      <w:r w:rsidRPr="00D31B71">
        <w:rPr>
          <w:sz w:val="24"/>
          <w:szCs w:val="24"/>
        </w:rPr>
        <w:t xml:space="preserve"> from animal MF04 and correspond to coronal section #61. In summary, all </w:t>
      </w:r>
      <w:r w:rsidRPr="00D31B71">
        <w:rPr>
          <w:rFonts w:ascii="Symbol" w:hAnsi="Symbol"/>
          <w:sz w:val="24"/>
          <w:szCs w:val="24"/>
        </w:rPr>
        <w:t></w:t>
      </w:r>
      <w:r w:rsidRPr="00D31B71">
        <w:rPr>
          <w:sz w:val="24"/>
          <w:szCs w:val="24"/>
        </w:rPr>
        <w:t>-</w:t>
      </w:r>
      <w:proofErr w:type="spellStart"/>
      <w:r w:rsidRPr="00D31B71">
        <w:rPr>
          <w:sz w:val="24"/>
          <w:szCs w:val="24"/>
        </w:rPr>
        <w:t>Syn</w:t>
      </w:r>
      <w:proofErr w:type="spellEnd"/>
      <w:r w:rsidRPr="00D31B71">
        <w:rPr>
          <w:sz w:val="24"/>
          <w:szCs w:val="24"/>
        </w:rPr>
        <w:t>+ neurons were counted, and indeed the algorithm was fully accurate and specific (</w:t>
      </w:r>
      <w:proofErr w:type="gramStart"/>
      <w:r w:rsidRPr="00D31B71">
        <w:rPr>
          <w:sz w:val="24"/>
          <w:szCs w:val="24"/>
        </w:rPr>
        <w:t>a total of 414</w:t>
      </w:r>
      <w:proofErr w:type="gramEnd"/>
      <w:r w:rsidRPr="00D31B71">
        <w:rPr>
          <w:sz w:val="24"/>
          <w:szCs w:val="24"/>
        </w:rPr>
        <w:t xml:space="preserve"> neurons were identified in this ROI). Scale bars are 10 mm for panels A &amp; A’; 1 mm in panels B &amp; B’ and 250 </w:t>
      </w:r>
      <w:r w:rsidRPr="00D31B71">
        <w:rPr>
          <w:rFonts w:ascii="Symbol" w:hAnsi="Symbol"/>
          <w:sz w:val="24"/>
          <w:szCs w:val="24"/>
        </w:rPr>
        <w:t></w:t>
      </w:r>
      <w:r w:rsidRPr="00D31B71">
        <w:rPr>
          <w:sz w:val="24"/>
          <w:szCs w:val="24"/>
        </w:rPr>
        <w:t>m in panels C &amp; C’.</w:t>
      </w:r>
    </w:p>
    <w:p w:rsidR="007E700C" w:rsidRDefault="007E700C"/>
    <w:sectPr w:rsidR="007E7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1D18"/>
    <w:multiLevelType w:val="hybridMultilevel"/>
    <w:tmpl w:val="E9F85666"/>
    <w:lvl w:ilvl="0" w:tplc="D3945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6"/>
    <w:rsid w:val="0005534D"/>
    <w:rsid w:val="00056970"/>
    <w:rsid w:val="00190676"/>
    <w:rsid w:val="00322829"/>
    <w:rsid w:val="005E7A1C"/>
    <w:rsid w:val="006259C5"/>
    <w:rsid w:val="006E4F70"/>
    <w:rsid w:val="00781F09"/>
    <w:rsid w:val="007E700C"/>
    <w:rsid w:val="00877103"/>
    <w:rsid w:val="009A23F1"/>
    <w:rsid w:val="00C673BA"/>
    <w:rsid w:val="00C85E06"/>
    <w:rsid w:val="00DB04BB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29FD"/>
  <w15:chartTrackingRefBased/>
  <w15:docId w15:val="{BCC518B3-0C48-4119-A757-E441E2FF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0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7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fo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ctorbuilder.com" TargetMode="External"/><Relationship Id="rId5" Type="http://schemas.openxmlformats.org/officeDocument/2006/relationships/hyperlink" Target="mailto:jlanciego@unav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Lanciego Perez</dc:creator>
  <cp:keywords/>
  <dc:description/>
  <cp:lastModifiedBy>Jose Luis Lanciego Perez</cp:lastModifiedBy>
  <cp:revision>11</cp:revision>
  <dcterms:created xsi:type="dcterms:W3CDTF">2023-12-15T08:35:00Z</dcterms:created>
  <dcterms:modified xsi:type="dcterms:W3CDTF">2023-12-15T09:23:00Z</dcterms:modified>
</cp:coreProperties>
</file>